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48932">
      <w:pPr>
        <w:spacing w:line="540" w:lineRule="exact"/>
        <w:jc w:val="center"/>
        <w:rPr>
          <w:rFonts w:ascii="华文中宋" w:hAnsi="华文中宋" w:eastAsia="华文中宋" w:cs="宋体"/>
          <w:b/>
          <w:kern w:val="0"/>
          <w:sz w:val="52"/>
          <w:szCs w:val="52"/>
        </w:rPr>
      </w:pPr>
    </w:p>
    <w:p w14:paraId="50FD4253">
      <w:pPr>
        <w:spacing w:line="540" w:lineRule="exact"/>
        <w:jc w:val="center"/>
        <w:rPr>
          <w:rFonts w:ascii="华文中宋" w:hAnsi="华文中宋" w:eastAsia="华文中宋" w:cs="宋体"/>
          <w:b/>
          <w:kern w:val="0"/>
          <w:sz w:val="52"/>
          <w:szCs w:val="52"/>
        </w:rPr>
      </w:pPr>
    </w:p>
    <w:p w14:paraId="5DF00DA9">
      <w:pPr>
        <w:spacing w:line="540" w:lineRule="exact"/>
        <w:jc w:val="center"/>
        <w:rPr>
          <w:rFonts w:ascii="华文中宋" w:hAnsi="华文中宋" w:eastAsia="华文中宋" w:cs="宋体"/>
          <w:b/>
          <w:kern w:val="0"/>
          <w:sz w:val="52"/>
          <w:szCs w:val="52"/>
        </w:rPr>
      </w:pPr>
    </w:p>
    <w:p w14:paraId="79AB11FE">
      <w:pPr>
        <w:spacing w:line="540" w:lineRule="exact"/>
        <w:rPr>
          <w:rFonts w:ascii="华文中宋" w:hAnsi="华文中宋" w:eastAsia="华文中宋" w:cs="宋体"/>
          <w:b/>
          <w:kern w:val="0"/>
          <w:sz w:val="52"/>
          <w:szCs w:val="52"/>
        </w:rPr>
      </w:pPr>
    </w:p>
    <w:p w14:paraId="106934B7">
      <w:pPr>
        <w:spacing w:line="540" w:lineRule="exact"/>
        <w:rPr>
          <w:rFonts w:ascii="华文中宋" w:hAnsi="华文中宋" w:eastAsia="华文中宋" w:cs="宋体"/>
          <w:b/>
          <w:kern w:val="0"/>
          <w:sz w:val="52"/>
          <w:szCs w:val="52"/>
        </w:rPr>
      </w:pPr>
    </w:p>
    <w:p w14:paraId="47DC10C3">
      <w:pPr>
        <w:spacing w:line="540" w:lineRule="exact"/>
        <w:jc w:val="center"/>
        <w:rPr>
          <w:rFonts w:ascii="华文中宋" w:hAnsi="华文中宋" w:eastAsia="华文中宋" w:cs="宋体"/>
          <w:b/>
          <w:kern w:val="0"/>
          <w:sz w:val="52"/>
          <w:szCs w:val="52"/>
        </w:rPr>
      </w:pPr>
    </w:p>
    <w:p w14:paraId="15FCEB22">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4CFCBCF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3E1B6E3">
      <w:pPr>
        <w:spacing w:line="540" w:lineRule="exact"/>
        <w:jc w:val="center"/>
        <w:rPr>
          <w:rFonts w:ascii="华文中宋" w:hAnsi="华文中宋" w:eastAsia="华文中宋" w:cs="宋体"/>
          <w:b/>
          <w:kern w:val="0"/>
          <w:sz w:val="52"/>
          <w:szCs w:val="52"/>
        </w:rPr>
      </w:pPr>
    </w:p>
    <w:p w14:paraId="43C4BAE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2025</w:t>
      </w:r>
      <w:r>
        <w:rPr>
          <w:rFonts w:hint="eastAsia" w:hAnsi="宋体" w:eastAsia="仿宋_GB2312" w:cs="宋体"/>
          <w:kern w:val="0"/>
          <w:sz w:val="36"/>
          <w:szCs w:val="36"/>
        </w:rPr>
        <w:t>年度）</w:t>
      </w:r>
    </w:p>
    <w:p w14:paraId="4BED3DDF">
      <w:pPr>
        <w:spacing w:line="540" w:lineRule="exact"/>
        <w:jc w:val="center"/>
        <w:rPr>
          <w:rFonts w:hAnsi="宋体" w:eastAsia="仿宋_GB2312" w:cs="宋体"/>
          <w:kern w:val="0"/>
          <w:sz w:val="30"/>
          <w:szCs w:val="30"/>
        </w:rPr>
      </w:pPr>
    </w:p>
    <w:p w14:paraId="561437BB">
      <w:pPr>
        <w:spacing w:line="540" w:lineRule="exact"/>
        <w:jc w:val="center"/>
        <w:rPr>
          <w:rFonts w:hAnsi="宋体" w:eastAsia="仿宋_GB2312" w:cs="宋体"/>
          <w:kern w:val="0"/>
          <w:sz w:val="30"/>
          <w:szCs w:val="30"/>
        </w:rPr>
      </w:pPr>
    </w:p>
    <w:p w14:paraId="412AC611">
      <w:pPr>
        <w:spacing w:line="540" w:lineRule="exact"/>
        <w:jc w:val="center"/>
        <w:rPr>
          <w:rFonts w:hint="eastAsia" w:ascii="方正小标宋_GBK" w:hAnsi="宋体" w:eastAsia="方正小标宋_GBK" w:cs="宋体"/>
          <w:kern w:val="0"/>
          <w:sz w:val="36"/>
          <w:szCs w:val="36"/>
          <w:lang w:val="en-US" w:eastAsia="zh-CN"/>
        </w:rPr>
      </w:pPr>
    </w:p>
    <w:p w14:paraId="2B8D0369">
      <w:pPr>
        <w:spacing w:line="540" w:lineRule="exact"/>
        <w:jc w:val="center"/>
        <w:rPr>
          <w:rFonts w:hint="eastAsia" w:ascii="方正小标宋_GBK" w:hAnsi="宋体" w:eastAsia="方正小标宋_GBK" w:cs="宋体"/>
          <w:kern w:val="0"/>
          <w:sz w:val="36"/>
          <w:szCs w:val="36"/>
          <w:lang w:eastAsia="zh-CN"/>
        </w:rPr>
      </w:pPr>
      <w:r>
        <w:rPr>
          <w:rFonts w:hint="eastAsia" w:ascii="方正小标宋_GBK" w:hAnsi="宋体" w:eastAsia="方正小标宋_GBK" w:cs="宋体"/>
          <w:kern w:val="0"/>
          <w:sz w:val="36"/>
          <w:szCs w:val="36"/>
          <w:lang w:val="en-US" w:eastAsia="zh-CN"/>
        </w:rPr>
        <w:t xml:space="preserve"> </w:t>
      </w:r>
    </w:p>
    <w:p w14:paraId="503F0147">
      <w:pPr>
        <w:spacing w:line="540" w:lineRule="exact"/>
        <w:jc w:val="center"/>
        <w:rPr>
          <w:rFonts w:hAnsi="宋体" w:eastAsia="仿宋_GB2312" w:cs="宋体"/>
          <w:kern w:val="0"/>
          <w:sz w:val="30"/>
          <w:szCs w:val="30"/>
        </w:rPr>
      </w:pPr>
    </w:p>
    <w:p w14:paraId="6611DE46">
      <w:pPr>
        <w:spacing w:line="540" w:lineRule="exact"/>
        <w:jc w:val="center"/>
        <w:rPr>
          <w:rFonts w:hAnsi="宋体" w:eastAsia="仿宋_GB2312" w:cs="宋体"/>
          <w:kern w:val="0"/>
          <w:sz w:val="30"/>
          <w:szCs w:val="30"/>
        </w:rPr>
      </w:pPr>
    </w:p>
    <w:p w14:paraId="7D5A4D91">
      <w:pPr>
        <w:spacing w:line="540" w:lineRule="exact"/>
        <w:jc w:val="center"/>
        <w:rPr>
          <w:rFonts w:hAnsi="宋体" w:eastAsia="仿宋_GB2312" w:cs="宋体"/>
          <w:kern w:val="0"/>
          <w:sz w:val="30"/>
          <w:szCs w:val="30"/>
        </w:rPr>
      </w:pPr>
    </w:p>
    <w:p w14:paraId="0A5985FB">
      <w:pPr>
        <w:spacing w:line="540" w:lineRule="exact"/>
        <w:rPr>
          <w:rFonts w:hAnsi="宋体" w:eastAsia="仿宋_GB2312" w:cs="宋体"/>
          <w:kern w:val="0"/>
          <w:sz w:val="30"/>
          <w:szCs w:val="30"/>
        </w:rPr>
      </w:pPr>
    </w:p>
    <w:p w14:paraId="428B619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54FD6D">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新疆财经大学</w:t>
      </w:r>
    </w:p>
    <w:p w14:paraId="1095E461">
      <w:pPr>
        <w:spacing w:line="700" w:lineRule="exact"/>
        <w:ind w:firstLine="849" w:firstLineChars="236"/>
        <w:jc w:val="left"/>
        <w:rPr>
          <w:rFonts w:hAnsi="宋体" w:eastAsia="仿宋_GB2312" w:cs="宋体"/>
          <w:color w:val="auto"/>
          <w:kern w:val="0"/>
          <w:sz w:val="36"/>
          <w:szCs w:val="36"/>
        </w:rPr>
      </w:pPr>
      <w:r>
        <w:rPr>
          <w:rFonts w:hint="eastAsia" w:hAnsi="宋体" w:eastAsia="仿宋_GB2312" w:cs="宋体"/>
          <w:kern w:val="0"/>
          <w:sz w:val="36"/>
          <w:szCs w:val="36"/>
        </w:rPr>
        <w:t>填报时间：</w:t>
      </w:r>
      <w:r>
        <w:rPr>
          <w:rFonts w:hint="eastAsia" w:hAnsi="宋体" w:eastAsia="仿宋_GB2312" w:cs="宋体"/>
          <w:color w:val="auto"/>
          <w:kern w:val="0"/>
          <w:sz w:val="36"/>
          <w:szCs w:val="36"/>
          <w:lang w:val="en-US" w:eastAsia="zh-CN"/>
        </w:rPr>
        <w:t>2026</w:t>
      </w:r>
      <w:r>
        <w:rPr>
          <w:rFonts w:hint="eastAsia" w:hAnsi="宋体" w:eastAsia="仿宋_GB2312" w:cs="宋体"/>
          <w:color w:val="auto"/>
          <w:kern w:val="0"/>
          <w:sz w:val="36"/>
          <w:szCs w:val="36"/>
        </w:rPr>
        <w:t>年</w:t>
      </w:r>
      <w:r>
        <w:rPr>
          <w:rFonts w:hint="eastAsia" w:hAnsi="宋体" w:eastAsia="仿宋_GB2312" w:cs="宋体"/>
          <w:color w:val="auto"/>
          <w:kern w:val="0"/>
          <w:sz w:val="36"/>
          <w:szCs w:val="36"/>
          <w:lang w:val="en-US" w:eastAsia="zh-CN"/>
        </w:rPr>
        <w:t>03</w:t>
      </w:r>
      <w:r>
        <w:rPr>
          <w:rFonts w:hint="eastAsia" w:hAnsi="宋体" w:eastAsia="仿宋_GB2312" w:cs="宋体"/>
          <w:color w:val="auto"/>
          <w:kern w:val="0"/>
          <w:sz w:val="36"/>
          <w:szCs w:val="36"/>
        </w:rPr>
        <w:t>月</w:t>
      </w:r>
      <w:r>
        <w:rPr>
          <w:rFonts w:hint="eastAsia" w:hAnsi="宋体" w:eastAsia="仿宋_GB2312" w:cs="宋体"/>
          <w:color w:val="auto"/>
          <w:kern w:val="0"/>
          <w:sz w:val="36"/>
          <w:szCs w:val="36"/>
          <w:lang w:val="en-US" w:eastAsia="zh-CN"/>
        </w:rPr>
        <w:t>24</w:t>
      </w:r>
      <w:r>
        <w:rPr>
          <w:rFonts w:hint="eastAsia" w:hAnsi="宋体" w:eastAsia="仿宋_GB2312" w:cs="宋体"/>
          <w:color w:val="auto"/>
          <w:kern w:val="0"/>
          <w:sz w:val="36"/>
          <w:szCs w:val="36"/>
        </w:rPr>
        <w:t>日</w:t>
      </w:r>
    </w:p>
    <w:p w14:paraId="55672352">
      <w:pPr>
        <w:spacing w:line="700" w:lineRule="exact"/>
        <w:ind w:firstLine="849" w:firstLineChars="236"/>
        <w:jc w:val="left"/>
        <w:rPr>
          <w:rFonts w:hAnsi="宋体" w:eastAsia="仿宋_GB2312" w:cs="宋体"/>
          <w:color w:val="0000FF"/>
          <w:kern w:val="0"/>
          <w:sz w:val="36"/>
          <w:szCs w:val="36"/>
        </w:rPr>
      </w:pPr>
    </w:p>
    <w:p w14:paraId="56403B33">
      <w:pPr>
        <w:spacing w:line="700" w:lineRule="exact"/>
        <w:ind w:firstLine="849" w:firstLineChars="236"/>
        <w:jc w:val="left"/>
        <w:rPr>
          <w:rFonts w:hAnsi="宋体" w:eastAsia="仿宋_GB2312" w:cs="宋体"/>
          <w:kern w:val="0"/>
          <w:sz w:val="36"/>
          <w:szCs w:val="36"/>
        </w:rPr>
      </w:pPr>
    </w:p>
    <w:p w14:paraId="36F9D61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sz w:val="32"/>
          <w:szCs w:val="32"/>
          <w:lang w:val="en-US" w:eastAsia="zh-CN"/>
        </w:rPr>
      </w:pPr>
    </w:p>
    <w:p w14:paraId="687A94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25"/>
          <w:cols w:space="425" w:num="1"/>
          <w:docGrid w:type="lines" w:linePitch="312" w:charSpace="0"/>
        </w:sectPr>
      </w:pPr>
    </w:p>
    <w:p w14:paraId="117CB4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一、基本概况</w:t>
      </w:r>
    </w:p>
    <w:p w14:paraId="5C7A7000">
      <w:pPr>
        <w:keepNext w:val="0"/>
        <w:keepLines w:val="0"/>
        <w:pageBreakBefore w:val="0"/>
        <w:kinsoku/>
        <w:wordWrap/>
        <w:overflowPunct/>
        <w:topLinePunct w:val="0"/>
        <w:autoSpaceDE/>
        <w:autoSpaceDN/>
        <w:bidi w:val="0"/>
        <w:adjustRightInd/>
        <w:snapToGrid/>
        <w:spacing w:line="560" w:lineRule="exact"/>
        <w:ind w:firstLine="567" w:firstLineChars="181"/>
        <w:jc w:val="both"/>
        <w:textAlignment w:val="auto"/>
        <w:rPr>
          <w:rStyle w:val="11"/>
          <w:rFonts w:hint="eastAsia" w:ascii="楷体" w:hAnsi="楷体" w:eastAsia="楷体" w:cs="楷体"/>
          <w:b/>
          <w:bCs w:val="0"/>
          <w:spacing w:val="-4"/>
          <w:sz w:val="32"/>
          <w:szCs w:val="32"/>
        </w:rPr>
      </w:pPr>
      <w:r>
        <w:rPr>
          <w:rStyle w:val="11"/>
          <w:rFonts w:hint="eastAsia" w:ascii="楷体" w:hAnsi="楷体" w:eastAsia="楷体" w:cs="楷体"/>
          <w:b/>
          <w:bCs w:val="0"/>
          <w:spacing w:val="-4"/>
          <w:sz w:val="32"/>
          <w:szCs w:val="32"/>
          <w:lang w:val="en-US" w:eastAsia="zh-CN"/>
        </w:rPr>
        <w:t>（一）</w:t>
      </w:r>
      <w:r>
        <w:rPr>
          <w:rStyle w:val="11"/>
          <w:rFonts w:hint="eastAsia" w:ascii="楷体" w:hAnsi="楷体" w:eastAsia="楷体" w:cs="楷体"/>
          <w:b/>
          <w:bCs w:val="0"/>
          <w:spacing w:val="-4"/>
          <w:sz w:val="32"/>
          <w:szCs w:val="32"/>
        </w:rPr>
        <w:t>部门单位基本情况</w:t>
      </w:r>
    </w:p>
    <w:p w14:paraId="0C854EED">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b/>
          <w:bCs/>
          <w:color w:val="000000"/>
          <w:kern w:val="0"/>
          <w:sz w:val="32"/>
          <w:szCs w:val="32"/>
          <w:lang w:val="en-US" w:eastAsia="zh-CN" w:bidi="ar"/>
        </w:rPr>
        <w:t>1.主要职能</w:t>
      </w:r>
    </w:p>
    <w:p w14:paraId="17714F9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新疆财经大学是新疆维吾尔自治区人民政府创办的重点大学。其前身是1950年成立的</w:t>
      </w:r>
      <w:r>
        <w:rPr>
          <w:rFonts w:hint="eastAsia" w:ascii="Times New Roman" w:hAnsi="Times New Roman" w:eastAsia="仿宋_GB2312" w:cs="Times New Roman"/>
          <w:color w:val="000000"/>
          <w:kern w:val="0"/>
          <w:sz w:val="32"/>
          <w:szCs w:val="32"/>
          <w:lang w:val="en-US" w:eastAsia="zh-CN" w:bidi="ar"/>
        </w:rPr>
        <w:t>新疆维吾尔自治区</w:t>
      </w:r>
      <w:r>
        <w:rPr>
          <w:rFonts w:hint="default" w:ascii="Times New Roman" w:hAnsi="Times New Roman" w:eastAsia="仿宋_GB2312" w:cs="Times New Roman"/>
          <w:color w:val="000000"/>
          <w:kern w:val="0"/>
          <w:sz w:val="32"/>
          <w:szCs w:val="32"/>
          <w:lang w:val="en-US" w:eastAsia="zh-CN" w:bidi="ar"/>
        </w:rPr>
        <w:t>人民政府干部培训班；1959年升格为新疆财经学院；1962年转制为新疆财贸学校；1980年经国务院批准恢复新疆财经学院建制。2000年新疆财经学院与新疆经济管理干部学院和新疆财政税务学校合并组建新的新疆财经学院；2007年经教育部批准，正式更名为新疆财经大学。</w:t>
      </w:r>
    </w:p>
    <w:p w14:paraId="217B70C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学校实行中国共产党新疆财经大学委员会领导下的校长负责制，依照《中华人民共和国教育法》《中华人民共和国教师法》《中华人民共和国高等教育法》、国务院《普通高等学校设置暂行条例》等法律法规，主要承担以下职责：</w:t>
      </w:r>
    </w:p>
    <w:p w14:paraId="5B7B211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1）学校坚持和加强党的全面领导，高举中国特色社会主义伟大旗帜，以马克思列宁主义、毛泽东思想、邓小平理论、“三个代表”重要思想、科学发展观、习近平新时代中国特色社会主义思想为指导，增强“四个意识”、坚定“四个自信”、做到“两个维护”，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学校坚持社会主义办学方向，完整准确贯彻新时代党的治疆方略，紧紧围绕新疆社会稳定和长治久安总目标，牢牢守住意识形态主阵地，确保校园和谐稳定。 </w:t>
      </w:r>
    </w:p>
    <w:p w14:paraId="01A3B88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（2）学校以人才培养、科学研究、社会服务、文化传承创新、国际交流合作为基本职能，立足基本国情，遵循教育规律，扎根中国大地办教育，为社会主义现代化建设和中华民族伟大复兴作出积极贡献。</w:t>
      </w:r>
    </w:p>
    <w:p w14:paraId="454BA2B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（3）学校依据国家法规和政策规定，根据社会需求及办学条件制定招生方案，设置和调整学科和专业结构，组织教学活动。</w:t>
      </w:r>
    </w:p>
    <w:p w14:paraId="35B341B4">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4）学校制定并严格执行科学的教学计划、教学大纲和教学质量标准。学校注重创新人才培养模式，根据人才培养目标、规格和要求，制定和优化人才培养方案，分层分类组织实施教育教学活动；健全校内教材管理制度和工作机制，加强教材建设和管理，优化课程体系，充实教学内容，变革教学方法，改进教学手段和形式，实施因材施教，完善考核方法，促进学生知识、能力、素质的协调发展。</w:t>
      </w:r>
    </w:p>
    <w:p w14:paraId="4F5E96C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5）学校以立德树人为根本任务，将师德师风作为评价教师队伍素质的第一标准，引导教师把教书育人和自我修养结合起来，做到以德立身、以德立学、以德施教；尊重爱护人才，为教师参加业务培训和开展教学科研及学术交流提供必要条件和保障。</w:t>
      </w:r>
    </w:p>
    <w:p w14:paraId="61458F5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6）学校鼓励教职工积极开展科学研究工作，建立科研成果综合考评制度，注重科研成果价值与学科专业贡献度评价，促进高水平科研成果的产出和具有社会应用价值的成果转化；充分发挥科研育人功能，引导学生积极参与科学研究工作；同时，坚持科教融合，鼓励教师开展教学研究和教学改革活动，支持研究成果融入教学实践中。</w:t>
      </w:r>
    </w:p>
    <w:p w14:paraId="2F7FFDC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7）学校主动适应高等教育国际化趋势，依法开展全方位、多层次、宽领域的国际合作与交流，与国（境）内外高等学校、科研机构等组织进行教学、科技、文化等方面的交流与合作，不断提升学校的国际影响力。</w:t>
      </w:r>
    </w:p>
    <w:p w14:paraId="79211E00">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color w:val="000000"/>
          <w:kern w:val="0"/>
          <w:sz w:val="32"/>
          <w:szCs w:val="32"/>
          <w:lang w:val="en-US" w:eastAsia="zh-CN" w:bidi="ar"/>
        </w:rPr>
        <w:t xml:space="preserve">2.机构人员构成 </w:t>
      </w:r>
    </w:p>
    <w:p w14:paraId="49303527">
      <w:pPr>
        <w:pStyle w:val="14"/>
        <w:keepNext w:val="0"/>
        <w:keepLines w:val="0"/>
        <w:pageBreakBefore w:val="0"/>
        <w:kinsoku/>
        <w:wordWrap/>
        <w:overflowPunct/>
        <w:topLinePunct w:val="0"/>
        <w:autoSpaceDE/>
        <w:autoSpaceDN/>
        <w:bidi w:val="0"/>
        <w:adjustRightInd/>
        <w:snapToGrid/>
        <w:spacing w:line="560" w:lineRule="exact"/>
        <w:ind w:firstLine="56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新疆财经大学无下属预算单位，下设 43 个处室，分别是：纪委（监察专员办公室）、办公室、组织部、统战部、宣传部、团委、教师工作部（教师教学能力发展中心）、学生工作部（处）、研究生工作部（处）、工会、发展规划处、人事处、教务处、科研处、国际交流与合作处、财务处、资产管理处、审计处、保卫处（人民武装部）、继续教育学院、图书馆、期刊编辑部、网络与实验实践教学中心、后勤综合服务中心、丝路经济与管理研究院、金融学院、统计与数据科学学院、会计学院、工商管理学院、MBA学院、经济学院、公共管理学院、财政税务学院、旅游学院、信息管理学院、新闻与传播学院、法学院、中国语言文化学院、国际经贸学院、马克思主义学院、体育教学研究部、企业管理研究所、区域经济研究所。</w:t>
      </w:r>
    </w:p>
    <w:p w14:paraId="3D43BD5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
        </w:rPr>
      </w:pPr>
      <w:r>
        <w:rPr>
          <w:rFonts w:hint="default" w:ascii="Times New Roman" w:hAnsi="Times New Roman" w:eastAsia="仿宋_GB2312" w:cs="Times New Roman"/>
          <w:color w:val="auto"/>
          <w:sz w:val="32"/>
          <w:szCs w:val="32"/>
        </w:rPr>
        <w:t>新疆财经大学编制数1</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580</w:t>
      </w:r>
      <w:r>
        <w:rPr>
          <w:rFonts w:hint="eastAsia" w:ascii="Times New Roman" w:hAnsi="Times New Roman" w:eastAsia="仿宋_GB2312" w:cs="Times New Roman"/>
          <w:color w:val="auto"/>
          <w:sz w:val="32"/>
          <w:szCs w:val="32"/>
          <w:lang w:val="en-US" w:eastAsia="zh-CN"/>
        </w:rPr>
        <w:t>人</w:t>
      </w:r>
      <w:r>
        <w:rPr>
          <w:rFonts w:hint="default" w:ascii="Times New Roman" w:hAnsi="Times New Roman" w:eastAsia="仿宋_GB2312" w:cs="Times New Roman"/>
          <w:color w:val="auto"/>
          <w:sz w:val="32"/>
          <w:szCs w:val="32"/>
        </w:rPr>
        <w:t>，实有人数</w:t>
      </w:r>
      <w:r>
        <w:rPr>
          <w:rFonts w:hint="eastAsia" w:ascii="Times New Roman" w:hAnsi="Times New Roman" w:eastAsia="仿宋_GB2312" w:cs="Times New Roman"/>
          <w:color w:val="auto"/>
          <w:sz w:val="32"/>
          <w:szCs w:val="32"/>
          <w:lang w:val="en-US" w:eastAsia="zh-CN"/>
        </w:rPr>
        <w:t>2,222</w:t>
      </w:r>
      <w:r>
        <w:rPr>
          <w:rFonts w:hint="default" w:ascii="Times New Roman" w:hAnsi="Times New Roman" w:eastAsia="仿宋_GB2312" w:cs="Times New Roman"/>
          <w:color w:val="auto"/>
          <w:sz w:val="32"/>
          <w:szCs w:val="32"/>
        </w:rPr>
        <w:t>人，其中：在职</w:t>
      </w:r>
      <w:r>
        <w:rPr>
          <w:rFonts w:hint="eastAsia" w:ascii="Times New Roman" w:hAnsi="Times New Roman" w:eastAsia="仿宋_GB2312" w:cs="Times New Roman"/>
          <w:color w:val="auto"/>
          <w:sz w:val="32"/>
          <w:szCs w:val="32"/>
          <w:lang w:val="en-US" w:eastAsia="zh-CN"/>
        </w:rPr>
        <w:t>1,284</w:t>
      </w:r>
      <w:r>
        <w:rPr>
          <w:rFonts w:hint="default" w:ascii="Times New Roman" w:hAnsi="Times New Roman" w:eastAsia="仿宋_GB2312" w:cs="Times New Roman"/>
          <w:color w:val="auto"/>
          <w:sz w:val="32"/>
          <w:szCs w:val="32"/>
        </w:rPr>
        <w:t>人，退休</w:t>
      </w:r>
      <w:r>
        <w:rPr>
          <w:rFonts w:hint="eastAsia" w:ascii="Times New Roman" w:hAnsi="Times New Roman" w:eastAsia="仿宋_GB2312" w:cs="Times New Roman"/>
          <w:color w:val="auto"/>
          <w:sz w:val="32"/>
          <w:szCs w:val="32"/>
          <w:lang w:val="en-US" w:eastAsia="zh-CN"/>
        </w:rPr>
        <w:t>936</w:t>
      </w:r>
      <w:r>
        <w:rPr>
          <w:rFonts w:hint="default" w:ascii="Times New Roman" w:hAnsi="Times New Roman" w:eastAsia="仿宋_GB2312" w:cs="Times New Roman"/>
          <w:color w:val="auto"/>
          <w:sz w:val="32"/>
          <w:szCs w:val="32"/>
        </w:rPr>
        <w:t>人，离休</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人。</w:t>
      </w:r>
    </w:p>
    <w:p w14:paraId="28CF48CF">
      <w:pPr>
        <w:spacing w:line="540" w:lineRule="exact"/>
        <w:ind w:firstLine="567" w:firstLineChars="181"/>
        <w:rPr>
          <w:rStyle w:val="11"/>
          <w:rFonts w:hint="eastAsia" w:ascii="楷体" w:hAnsi="楷体" w:eastAsia="楷体" w:cs="楷体"/>
          <w:b/>
          <w:bCs w:val="0"/>
          <w:spacing w:val="-4"/>
          <w:sz w:val="32"/>
          <w:szCs w:val="32"/>
          <w:lang w:val="en-US" w:eastAsia="zh-CN"/>
        </w:rPr>
      </w:pPr>
      <w:r>
        <w:rPr>
          <w:rStyle w:val="11"/>
          <w:rFonts w:hint="eastAsia" w:ascii="楷体" w:hAnsi="楷体" w:eastAsia="楷体" w:cs="楷体"/>
          <w:b/>
          <w:bCs w:val="0"/>
          <w:spacing w:val="-4"/>
          <w:sz w:val="32"/>
          <w:szCs w:val="32"/>
          <w:lang w:val="en-US" w:eastAsia="zh-CN"/>
        </w:rPr>
        <w:t>（二）部门单位年度重点工作</w:t>
      </w:r>
    </w:p>
    <w:p w14:paraId="4EB912B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2025年在自治区党委的坚强领导下，在党委教育工委、教育厅的指导帮助下，学校党委坚持以习近平新时代中国特色社会主义思想为指导，坚定拥护“两个确立”、坚决做到“两个维护”，紧扣教育的“三大属性”，一边着力抓关键问题的解决，一边积极抓发展和布局。学校事业呈现良好发展态势，打开了办学治校新局面。</w:t>
      </w:r>
    </w:p>
    <w:p w14:paraId="5FBC0DE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坚持党建引领，强化干部人才队伍建设。一是全面落实党建工作责任制，推进基层党组织和党员队伍建设，坚持正确选人用人导向，调整处级干部51人次，加大年轻干部培养力度，引进博士23人，聘任“特聘教授”“银龄教师”32人。二是扎实开展深入贯彻中央八项规定精神学习教育。加强系统学习，举办处级干部读书班，指导176个党支部开展集体学习1</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648场次。</w:t>
      </w:r>
    </w:p>
    <w:p w14:paraId="54C190E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落实立德树人根本任务，强化思政教育引导。一是思政教育改革创新。用好“马工程”教材，建强“思政金课”。深化“三四五”特色育人工程，培育推广“三全育人”示范点。促进“五育宿舍”与“一站式”学生社区建设融合发展。落实“第二课堂成绩单”制度。二是落实铸牢中华民族共同体意识阶段性行动方案，推进青少年“筑基”工程。深化民族团结进步教育和创建，持续强化师生“五个认同”。连续七年实施麦盖提县励志助学金项目，资助202人。</w:t>
      </w:r>
    </w:p>
    <w:p w14:paraId="0DA0B4E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拓展办学空间，构建“一校两地三区”发展新格局。2025年9月，阿勒泰校区、北校区顺利投入使用。明确阿勒泰校区的“大旅游”专业群定位，组建一支高水平师资团队，建设13个实践基地，建成智慧教室等资源设施，首批到校487名本科生顺利入校。在全体干部教师齐心协力下，仅用4个月时间完成北校区5个学院4</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000余名学生搬迁工作。</w:t>
      </w:r>
    </w:p>
    <w:p w14:paraId="66C822FA">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科研创新取得突破，社会服务打开新局面。一是立项规模大幅提升，2025年累计立项359项，其中纵向项目226项，横向项目133项。国家自然科学基金、国家社会科学基金和省部级项目立项数分别增长50%、117%和75.92%。二是成果质量明显提高。发表核心期刊论文202篇，B刊以上35篇，较上年增长10.4%。多项咨政成果获国家和省部级领导批示。三是平台和科研团队建设开局起步。获批省部级协同创新研究中心，组织申报的教育部哲学社会科学实验室和自治区工程研究中心进展顺利。围绕中国—中亚合作、金融科技、大数据、AI等十大方向，布局一批基础支撑性的研究平台或团队，开启了搭建基础性、研究性、数理工程性平台系统建设。2个理工类平台申报工作得到自治区科技厅大力支持。</w:t>
      </w:r>
    </w:p>
    <w:p w14:paraId="7539753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服务经济社会发展活力能力初步显现。推行“一院一产一地多企”机制，学校与发改委、科技厅、金融监管局等17家厅局和哈密市、喀什地区等地州建立了战略合作关系。与多家银行、保险公司、行业头部企业开展了实质性合作。与新疆金融监管局组建新疆金融业“十五五”规划研究团队，与自治区文化和旅游厅联合成立新疆文化和旅游产业研究院，与自治区医疗保障局共建新疆医疗保障基金研究院。</w:t>
      </w:r>
    </w:p>
    <w:p w14:paraId="21137099">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教育教学内涵建设迈出新步伐。一是推进专业优化调整升级。申报“涉外法治”“数学与应用数学”等6个专业，停招3个专业，开设5个微专业，人工智能、小语种课程启动实施。二是推进实践教学改革建设。修订2025版人才培养方案，实践学分占比提升至32%。制定阿勒泰校区5个专业培养方案，突出人才培养与区域发展需求的适配性。完善实践教学制度体系，成立4个现代产业学院，加强校外实践教学基地动态管理。在2025年中国国际大学生创新大赛中，</w:t>
      </w:r>
      <w:r>
        <w:rPr>
          <w:rFonts w:hint="eastAsia" w:ascii="Times New Roman" w:hAnsi="Times New Roman" w:eastAsia="仿宋_GB2312" w:cs="Times New Roman"/>
          <w:color w:val="auto"/>
          <w:sz w:val="32"/>
          <w:szCs w:val="32"/>
          <w:lang w:val="en-US" w:eastAsia="zh-CN"/>
        </w:rPr>
        <w:t>获得</w:t>
      </w:r>
      <w:r>
        <w:rPr>
          <w:rFonts w:hint="default" w:ascii="Times New Roman" w:hAnsi="Times New Roman" w:eastAsia="仿宋_GB2312" w:cs="Times New Roman"/>
          <w:color w:val="auto"/>
          <w:sz w:val="32"/>
          <w:szCs w:val="32"/>
          <w:lang w:val="en-US" w:eastAsia="zh-CN"/>
        </w:rPr>
        <w:t>国家级奖项5项、自治区级奖项25项，获奖总数较上年翻了一番，并连续两年荣获大学生新文科实践创新大赛国家级金奖，全疆第二。三是对口支援合作打开新局面。与中央财经大学联合共建金融工程中心。与中南财经政法大学确定面向“十五五”三项重点合作项目，成立医保政策联合研究所，实行双首席制，共建医疗保障政策联合研究团队。依托对口支援院校力量，启动我校会计、审计、工商等学科专业认证，向国际化、高水平建设迈出了重大步伐。</w:t>
      </w:r>
    </w:p>
    <w:p w14:paraId="2668EB67">
      <w:pPr>
        <w:spacing w:line="540" w:lineRule="exact"/>
        <w:ind w:firstLine="567" w:firstLineChars="181"/>
        <w:rPr>
          <w:rStyle w:val="11"/>
          <w:rFonts w:hint="default" w:ascii="楷体" w:hAnsi="楷体" w:eastAsia="楷体" w:cs="楷体"/>
          <w:b/>
          <w:bCs w:val="0"/>
          <w:spacing w:val="-4"/>
          <w:sz w:val="32"/>
          <w:szCs w:val="32"/>
          <w:lang w:val="en-US" w:eastAsia="zh-CN"/>
        </w:rPr>
      </w:pPr>
      <w:r>
        <w:rPr>
          <w:rStyle w:val="11"/>
          <w:rFonts w:hint="eastAsia" w:ascii="楷体" w:hAnsi="楷体" w:eastAsia="楷体" w:cs="楷体"/>
          <w:b/>
          <w:bCs w:val="0"/>
          <w:spacing w:val="-4"/>
          <w:sz w:val="32"/>
          <w:szCs w:val="32"/>
          <w:lang w:val="en-US" w:eastAsia="zh-CN"/>
        </w:rPr>
        <w:t>（三）部门单位整体预算规模及安排情况</w:t>
      </w:r>
    </w:p>
    <w:p w14:paraId="7497147D">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rPr>
          <w:rStyle w:val="11"/>
          <w:rFonts w:hint="default" w:ascii="Times New Roman" w:hAnsi="Times New Roman" w:eastAsia="仿宋_GB2312" w:cs="Times New Roman"/>
          <w:b w:val="0"/>
          <w:color w:val="auto"/>
          <w:spacing w:val="-4"/>
          <w:sz w:val="32"/>
          <w:szCs w:val="32"/>
          <w:lang w:val="en-US" w:eastAsia="zh-CN"/>
        </w:rPr>
      </w:pPr>
      <w:r>
        <w:rPr>
          <w:rStyle w:val="11"/>
          <w:rFonts w:hint="default" w:ascii="Times New Roman" w:hAnsi="Times New Roman" w:eastAsia="仿宋_GB2312" w:cs="Times New Roman"/>
          <w:b w:val="0"/>
          <w:color w:val="auto"/>
          <w:spacing w:val="-4"/>
          <w:sz w:val="32"/>
          <w:szCs w:val="32"/>
          <w:lang w:val="en-US" w:eastAsia="zh-CN"/>
        </w:rPr>
        <w:t>202</w:t>
      </w:r>
      <w:r>
        <w:rPr>
          <w:rStyle w:val="11"/>
          <w:rFonts w:hint="eastAsia" w:ascii="Times New Roman" w:hAnsi="Times New Roman" w:eastAsia="仿宋_GB2312" w:cs="Times New Roman"/>
          <w:b w:val="0"/>
          <w:color w:val="auto"/>
          <w:spacing w:val="-4"/>
          <w:sz w:val="32"/>
          <w:szCs w:val="32"/>
          <w:lang w:val="en-US" w:eastAsia="zh-CN"/>
        </w:rPr>
        <w:t>5</w:t>
      </w:r>
      <w:r>
        <w:rPr>
          <w:rStyle w:val="11"/>
          <w:rFonts w:hint="default" w:ascii="Times New Roman" w:hAnsi="Times New Roman" w:eastAsia="仿宋_GB2312" w:cs="Times New Roman"/>
          <w:b w:val="0"/>
          <w:color w:val="auto"/>
          <w:spacing w:val="-4"/>
          <w:sz w:val="32"/>
          <w:szCs w:val="32"/>
          <w:lang w:val="en-US" w:eastAsia="zh-CN"/>
        </w:rPr>
        <w:t>年新疆财经大学预算安排</w:t>
      </w:r>
      <w:r>
        <w:rPr>
          <w:rStyle w:val="11"/>
          <w:rFonts w:hint="eastAsia" w:ascii="Times New Roman" w:hAnsi="Times New Roman" w:eastAsia="仿宋_GB2312" w:cs="Times New Roman"/>
          <w:b w:val="0"/>
          <w:color w:val="auto"/>
          <w:spacing w:val="-4"/>
          <w:sz w:val="32"/>
          <w:szCs w:val="32"/>
          <w:lang w:val="en-US" w:eastAsia="zh-CN"/>
        </w:rPr>
        <w:t>72,533.18</w:t>
      </w:r>
      <w:r>
        <w:rPr>
          <w:rStyle w:val="11"/>
          <w:rFonts w:hint="default" w:ascii="Times New Roman" w:hAnsi="Times New Roman" w:eastAsia="仿宋_GB2312" w:cs="Times New Roman"/>
          <w:b w:val="0"/>
          <w:color w:val="auto"/>
          <w:spacing w:val="-4"/>
          <w:sz w:val="32"/>
          <w:szCs w:val="32"/>
          <w:lang w:val="en-US" w:eastAsia="zh-CN"/>
        </w:rPr>
        <w:t>万元，其中：上级财政安排</w:t>
      </w:r>
      <w:r>
        <w:rPr>
          <w:rStyle w:val="11"/>
          <w:rFonts w:hint="eastAsia" w:ascii="Times New Roman" w:hAnsi="Times New Roman" w:eastAsia="仿宋_GB2312" w:cs="Times New Roman"/>
          <w:b w:val="0"/>
          <w:color w:val="auto"/>
          <w:spacing w:val="-4"/>
          <w:sz w:val="32"/>
          <w:szCs w:val="32"/>
          <w:lang w:val="en-US" w:eastAsia="zh-CN"/>
        </w:rPr>
        <w:t>5,982.31</w:t>
      </w:r>
      <w:r>
        <w:rPr>
          <w:rStyle w:val="11"/>
          <w:rFonts w:hint="default" w:ascii="Times New Roman" w:hAnsi="Times New Roman" w:eastAsia="仿宋_GB2312" w:cs="Times New Roman"/>
          <w:b w:val="0"/>
          <w:color w:val="auto"/>
          <w:spacing w:val="-4"/>
          <w:sz w:val="32"/>
          <w:szCs w:val="32"/>
          <w:lang w:val="en-US" w:eastAsia="zh-CN"/>
        </w:rPr>
        <w:t>万元，本级财政安排30,387.48万元，其他资金安排36</w:t>
      </w:r>
      <w:r>
        <w:rPr>
          <w:rStyle w:val="11"/>
          <w:rFonts w:hint="eastAsia" w:ascii="Times New Roman" w:hAnsi="Times New Roman" w:eastAsia="仿宋_GB2312" w:cs="Times New Roman"/>
          <w:b w:val="0"/>
          <w:color w:val="auto"/>
          <w:spacing w:val="-4"/>
          <w:sz w:val="32"/>
          <w:szCs w:val="32"/>
          <w:lang w:val="en-US" w:eastAsia="zh-CN"/>
        </w:rPr>
        <w:t>,</w:t>
      </w:r>
      <w:r>
        <w:rPr>
          <w:rStyle w:val="11"/>
          <w:rFonts w:hint="default" w:ascii="Times New Roman" w:hAnsi="Times New Roman" w:eastAsia="仿宋_GB2312" w:cs="Times New Roman"/>
          <w:b w:val="0"/>
          <w:color w:val="auto"/>
          <w:spacing w:val="-4"/>
          <w:sz w:val="32"/>
          <w:szCs w:val="32"/>
          <w:lang w:val="en-US" w:eastAsia="zh-CN"/>
        </w:rPr>
        <w:t>163.39</w:t>
      </w:r>
      <w:r>
        <w:rPr>
          <w:rStyle w:val="11"/>
          <w:rFonts w:hint="default" w:ascii="Times New Roman" w:hAnsi="Times New Roman" w:eastAsia="仿宋_GB2312" w:cs="Times New Roman"/>
          <w:b w:val="0"/>
          <w:color w:val="auto"/>
          <w:spacing w:val="-4"/>
          <w:sz w:val="32"/>
          <w:szCs w:val="32"/>
          <w:lang w:val="en-US" w:eastAsia="zh-CN"/>
        </w:rPr>
        <w:tab/>
      </w:r>
      <w:r>
        <w:rPr>
          <w:rStyle w:val="11"/>
          <w:rFonts w:hint="default" w:ascii="Times New Roman" w:hAnsi="Times New Roman" w:eastAsia="仿宋_GB2312" w:cs="Times New Roman"/>
          <w:b w:val="0"/>
          <w:color w:val="auto"/>
          <w:spacing w:val="-4"/>
          <w:sz w:val="32"/>
          <w:szCs w:val="32"/>
          <w:lang w:val="en-US" w:eastAsia="zh-CN"/>
        </w:rPr>
        <w:t>万元。</w:t>
      </w:r>
    </w:p>
    <w:p w14:paraId="733BDF21">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rPr>
          <w:rStyle w:val="11"/>
          <w:rFonts w:hint="default" w:ascii="Times New Roman" w:hAnsi="Times New Roman" w:eastAsia="仿宋_GB2312" w:cs="Times New Roman"/>
          <w:b w:val="0"/>
          <w:spacing w:val="-4"/>
          <w:sz w:val="32"/>
          <w:szCs w:val="32"/>
          <w:lang w:val="en-US" w:eastAsia="zh-CN"/>
        </w:rPr>
      </w:pPr>
      <w:r>
        <w:rPr>
          <w:rStyle w:val="11"/>
          <w:rFonts w:hint="eastAsia" w:ascii="Times New Roman" w:hAnsi="Times New Roman" w:eastAsia="仿宋_GB2312" w:cs="Times New Roman"/>
          <w:b w:val="0"/>
          <w:spacing w:val="-4"/>
          <w:sz w:val="32"/>
          <w:szCs w:val="32"/>
          <w:lang w:val="en-US" w:eastAsia="zh-CN"/>
        </w:rPr>
        <w:t>1.</w:t>
      </w:r>
      <w:r>
        <w:rPr>
          <w:rStyle w:val="11"/>
          <w:rFonts w:hint="default" w:ascii="Times New Roman" w:hAnsi="Times New Roman" w:eastAsia="仿宋_GB2312" w:cs="Times New Roman"/>
          <w:b w:val="0"/>
          <w:spacing w:val="-4"/>
          <w:sz w:val="32"/>
          <w:szCs w:val="32"/>
          <w:lang w:val="en-US" w:eastAsia="zh-CN"/>
        </w:rPr>
        <w:t>202</w:t>
      </w:r>
      <w:r>
        <w:rPr>
          <w:rStyle w:val="11"/>
          <w:rFonts w:hint="eastAsia" w:ascii="Times New Roman" w:hAnsi="Times New Roman" w:eastAsia="仿宋_GB2312" w:cs="Times New Roman"/>
          <w:b w:val="0"/>
          <w:spacing w:val="-4"/>
          <w:sz w:val="32"/>
          <w:szCs w:val="32"/>
          <w:lang w:val="en-US" w:eastAsia="zh-CN"/>
        </w:rPr>
        <w:t>5</w:t>
      </w:r>
      <w:r>
        <w:rPr>
          <w:rStyle w:val="11"/>
          <w:rFonts w:hint="default" w:ascii="Times New Roman" w:hAnsi="Times New Roman" w:eastAsia="仿宋_GB2312" w:cs="Times New Roman"/>
          <w:b w:val="0"/>
          <w:spacing w:val="-4"/>
          <w:sz w:val="32"/>
          <w:szCs w:val="32"/>
          <w:lang w:val="en-US" w:eastAsia="zh-CN"/>
        </w:rPr>
        <w:t>年新疆财经大学预算资金使用主要内容包括：</w:t>
      </w:r>
    </w:p>
    <w:p w14:paraId="758EC1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基本保障支出。包括人员支出和公用运转类支出，其中：人员支出主要有</w:t>
      </w:r>
      <w:r>
        <w:rPr>
          <w:rFonts w:hint="default" w:ascii="Times New Roman" w:hAnsi="Times New Roman" w:eastAsia="仿宋_GB2312" w:cs="Times New Roman"/>
          <w:sz w:val="32"/>
          <w:szCs w:val="32"/>
        </w:rPr>
        <w:t>在职人员及离休人员工资</w:t>
      </w:r>
      <w:r>
        <w:rPr>
          <w:rFonts w:hint="default" w:ascii="Times New Roman" w:hAnsi="Times New Roman" w:eastAsia="仿宋_GB2312" w:cs="Times New Roman"/>
          <w:sz w:val="32"/>
          <w:szCs w:val="32"/>
          <w:lang w:val="en-US" w:eastAsia="zh-CN"/>
        </w:rPr>
        <w:t>津贴、社会保险缴费、住房公积金、职业年金</w:t>
      </w:r>
      <w:r>
        <w:rPr>
          <w:rFonts w:hint="default" w:ascii="Times New Roman" w:hAnsi="Times New Roman" w:eastAsia="仿宋_GB2312" w:cs="Times New Roman"/>
          <w:sz w:val="32"/>
          <w:szCs w:val="32"/>
        </w:rPr>
        <w:t>等</w:t>
      </w:r>
      <w:r>
        <w:rPr>
          <w:rFonts w:hint="default" w:ascii="Times New Roman" w:hAnsi="Times New Roman" w:eastAsia="仿宋_GB2312" w:cs="Times New Roman"/>
          <w:sz w:val="32"/>
          <w:szCs w:val="32"/>
          <w:lang w:val="en-US" w:eastAsia="zh-CN"/>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公用运转类支出主要有</w:t>
      </w:r>
      <w:r>
        <w:rPr>
          <w:rFonts w:hint="default" w:ascii="Times New Roman" w:hAnsi="Times New Roman" w:eastAsia="仿宋_GB2312" w:cs="Times New Roman"/>
          <w:sz w:val="32"/>
          <w:szCs w:val="32"/>
        </w:rPr>
        <w:t>学校运行</w:t>
      </w:r>
      <w:r>
        <w:rPr>
          <w:rFonts w:hint="eastAsia" w:ascii="Times New Roman" w:hAnsi="Times New Roman" w:eastAsia="仿宋_GB2312" w:cs="Times New Roman"/>
          <w:sz w:val="32"/>
          <w:szCs w:val="32"/>
          <w:lang w:val="en-US" w:eastAsia="zh-CN"/>
        </w:rPr>
        <w:t>所需</w:t>
      </w:r>
      <w:r>
        <w:rPr>
          <w:rFonts w:hint="default" w:ascii="Times New Roman" w:hAnsi="Times New Roman" w:eastAsia="仿宋_GB2312" w:cs="Times New Roman"/>
          <w:sz w:val="32"/>
          <w:szCs w:val="32"/>
        </w:rPr>
        <w:t>的办公费、</w:t>
      </w:r>
      <w:r>
        <w:rPr>
          <w:rFonts w:hint="default" w:ascii="Times New Roman" w:hAnsi="Times New Roman" w:eastAsia="仿宋_GB2312" w:cs="Times New Roman"/>
          <w:sz w:val="32"/>
          <w:szCs w:val="32"/>
          <w:lang w:val="en-US" w:eastAsia="zh-CN"/>
        </w:rPr>
        <w:t>水费、电费、</w:t>
      </w:r>
      <w:r>
        <w:rPr>
          <w:rFonts w:hint="default" w:ascii="Times New Roman" w:hAnsi="Times New Roman" w:eastAsia="仿宋_GB2312" w:cs="Times New Roman"/>
          <w:sz w:val="32"/>
          <w:szCs w:val="32"/>
        </w:rPr>
        <w:t>取暖费、</w:t>
      </w:r>
      <w:r>
        <w:rPr>
          <w:rFonts w:hint="eastAsia" w:ascii="Times New Roman" w:hAnsi="Times New Roman" w:eastAsia="仿宋_GB2312" w:cs="Times New Roman"/>
          <w:sz w:val="32"/>
          <w:szCs w:val="32"/>
          <w:lang w:val="en-US" w:eastAsia="zh-CN"/>
        </w:rPr>
        <w:t>邮电费、</w:t>
      </w:r>
      <w:r>
        <w:rPr>
          <w:rFonts w:hint="default" w:ascii="Times New Roman" w:hAnsi="Times New Roman" w:eastAsia="仿宋_GB2312" w:cs="Times New Roman"/>
          <w:sz w:val="32"/>
          <w:szCs w:val="32"/>
        </w:rPr>
        <w:t>差旅费、物业管理费、工会经费、福利费等</w:t>
      </w:r>
      <w:r>
        <w:rPr>
          <w:rFonts w:hint="eastAsia" w:ascii="Times New Roman" w:hAnsi="Times New Roman" w:eastAsia="仿宋_GB2312" w:cs="Times New Roman"/>
          <w:sz w:val="32"/>
          <w:szCs w:val="32"/>
          <w:lang w:val="en-US" w:eastAsia="zh-CN"/>
        </w:rPr>
        <w:t>确保</w:t>
      </w:r>
      <w:r>
        <w:rPr>
          <w:rFonts w:hint="default" w:ascii="Times New Roman" w:hAnsi="Times New Roman" w:eastAsia="仿宋_GB2312" w:cs="Times New Roman"/>
          <w:sz w:val="32"/>
          <w:szCs w:val="32"/>
          <w:lang w:val="en-US" w:eastAsia="zh-CN"/>
        </w:rPr>
        <w:t>学校日常运转的</w:t>
      </w:r>
      <w:r>
        <w:rPr>
          <w:rFonts w:hint="default"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w:t>
      </w:r>
    </w:p>
    <w:p w14:paraId="3A98AB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人员类</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课时费及聘用人员工资项目支出。主要用于保障在职人员绩效工资、年终绩效奖、退休人员年度绩效奖励及丧葬费抚恤金等支出。</w:t>
      </w:r>
    </w:p>
    <w:p w14:paraId="73C7BA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lang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公用运转类</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教学业务及专业建设项目支出。主要包括：</w:t>
      </w:r>
      <w:r>
        <w:rPr>
          <w:rFonts w:hint="eastAsia"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val="en-US" w:eastAsia="zh-CN"/>
        </w:rPr>
        <w:t>行政教辅部门围绕工作计划开展的专项业务工作，用于学生活动、招生宣传、校园网络建设、安全生产、图书购置、思政工作、教师教学能力提升、就业补助、校级科研立项及专著资助、期刊运营发展、公务用车维护等支出；</w:t>
      </w:r>
      <w:r>
        <w:rPr>
          <w:rFonts w:hint="eastAsia" w:ascii="Times New Roman" w:hAnsi="Times New Roman" w:eastAsia="仿宋_GB2312" w:cs="Times New Roman"/>
          <w:sz w:val="32"/>
          <w:szCs w:val="32"/>
          <w:lang w:val="en-US" w:eastAsia="zh-CN"/>
        </w:rPr>
        <w:t>②</w:t>
      </w:r>
      <w:r>
        <w:rPr>
          <w:rFonts w:hint="default" w:ascii="Times New Roman" w:hAnsi="Times New Roman" w:eastAsia="仿宋_GB2312" w:cs="Times New Roman"/>
          <w:sz w:val="32"/>
          <w:szCs w:val="32"/>
          <w:lang w:val="en-US" w:eastAsia="zh-CN"/>
        </w:rPr>
        <w:t>专业、学科建设公用经费，用于本科专业建设、本科教学建设、研究生学科建设等支出</w:t>
      </w:r>
      <w:r>
        <w:rPr>
          <w:rFonts w:hint="eastAsia"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lang w:val="en-US" w:eastAsia="zh-CN"/>
        </w:rPr>
        <w:t>博士引进相关支出，用于人才招聘、引进博士科研启动、攻读博士学位培养等支出</w:t>
      </w:r>
      <w:r>
        <w:rPr>
          <w:rFonts w:hint="default" w:ascii="Times New Roman" w:hAnsi="Times New Roman" w:eastAsia="仿宋_GB2312" w:cs="Times New Roman"/>
          <w:sz w:val="32"/>
          <w:szCs w:val="32"/>
          <w:lang w:eastAsia="zh-CN"/>
        </w:rPr>
        <w:t>；</w:t>
      </w:r>
    </w:p>
    <w:p w14:paraId="50BC06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科研业务经费项目支出。主要用于各类科研课题相关支出；</w:t>
      </w:r>
    </w:p>
    <w:p w14:paraId="3417F69F">
      <w:pPr>
        <w:pStyle w:val="7"/>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助学金配套及伙食补助项</w:t>
      </w:r>
      <w:r>
        <w:rPr>
          <w:rFonts w:hint="default" w:ascii="Times New Roman" w:hAnsi="Times New Roman" w:eastAsia="仿宋_GB2312" w:cs="Times New Roman"/>
          <w:kern w:val="2"/>
          <w:sz w:val="32"/>
          <w:szCs w:val="32"/>
          <w:lang w:val="en-US" w:eastAsia="zh-CN" w:bidi="ar-SA"/>
        </w:rPr>
        <w:t>目支出。主要用于发放学校校级奖学金、勤工助学补助及大学生伙食补助配套经费。</w:t>
      </w:r>
    </w:p>
    <w:p w14:paraId="4A0386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基本建设及校园维修项目支出。主要用于改善学校办学条件，按计划开展学校教室、公寓维修维护工作，改善校园基础建设和硬件设施，保障学校日常运转；</w:t>
      </w:r>
    </w:p>
    <w:p w14:paraId="685953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公用运转类</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后勤保障类项目支出。主要包括</w:t>
      </w:r>
      <w:r>
        <w:rPr>
          <w:rFonts w:hint="eastAsia"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val="en-US" w:eastAsia="zh-CN"/>
        </w:rPr>
        <w:t>学校餐饮中心支出，用于相关人员工资、食材购买、低值易耗品支出、维修（护）费等支出；</w:t>
      </w:r>
      <w:r>
        <w:rPr>
          <w:rFonts w:hint="eastAsia" w:ascii="Times New Roman" w:hAnsi="Times New Roman" w:eastAsia="仿宋_GB2312" w:cs="Times New Roman"/>
          <w:sz w:val="32"/>
          <w:szCs w:val="32"/>
          <w:lang w:val="en-US" w:eastAsia="zh-CN"/>
        </w:rPr>
        <w:t>②</w:t>
      </w:r>
      <w:r>
        <w:rPr>
          <w:rFonts w:hint="default" w:ascii="Times New Roman" w:hAnsi="Times New Roman" w:eastAsia="仿宋_GB2312" w:cs="Times New Roman"/>
          <w:sz w:val="32"/>
          <w:szCs w:val="32"/>
          <w:lang w:val="en-US" w:eastAsia="zh-CN"/>
        </w:rPr>
        <w:t>校医院支出，用于药品采购、学生体检、门诊看病等支出；</w:t>
      </w:r>
      <w:r>
        <w:rPr>
          <w:rFonts w:hint="eastAsia"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lang w:val="en-US" w:eastAsia="zh-CN"/>
        </w:rPr>
        <w:t>幼儿园支出，用于幼儿园伙食费等支出。</w:t>
      </w:r>
    </w:p>
    <w:p w14:paraId="29151BED">
      <w:pPr>
        <w:pStyle w:val="7"/>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（8）</w:t>
      </w:r>
      <w:r>
        <w:rPr>
          <w:rFonts w:hint="default" w:ascii="Times New Roman" w:hAnsi="Times New Roman" w:eastAsia="仿宋_GB2312" w:cs="Times New Roman"/>
          <w:kern w:val="2"/>
          <w:sz w:val="32"/>
          <w:szCs w:val="32"/>
          <w:lang w:val="en-US" w:eastAsia="zh-CN" w:bidi="ar-SA"/>
        </w:rPr>
        <w:t>珠算协会项目支出。主要用于珠算协会日常工作开展支出。</w:t>
      </w:r>
    </w:p>
    <w:p w14:paraId="02382C14">
      <w:pPr>
        <w:keepNext w:val="0"/>
        <w:keepLines w:val="0"/>
        <w:pageBreakBefore w:val="0"/>
        <w:widowControl w:val="0"/>
        <w:kinsoku/>
        <w:wordWrap/>
        <w:overflowPunct/>
        <w:topLinePunct w:val="0"/>
        <w:autoSpaceDE/>
        <w:autoSpaceDN/>
        <w:bidi w:val="0"/>
        <w:adjustRightInd/>
        <w:snapToGrid w:val="0"/>
        <w:spacing w:line="560" w:lineRule="exact"/>
        <w:ind w:firstLine="624" w:firstLineChars="200"/>
        <w:jc w:val="both"/>
        <w:textAlignment w:val="auto"/>
        <w:rPr>
          <w:rStyle w:val="11"/>
          <w:rFonts w:hint="default" w:ascii="Times New Roman" w:hAnsi="Times New Roman" w:eastAsia="仿宋_GB2312" w:cs="Times New Roman"/>
          <w:b w:val="0"/>
          <w:spacing w:val="-4"/>
          <w:sz w:val="32"/>
          <w:szCs w:val="32"/>
          <w:lang w:val="en-US" w:eastAsia="zh-CN"/>
        </w:rPr>
      </w:pPr>
      <w:r>
        <w:rPr>
          <w:rStyle w:val="11"/>
          <w:rFonts w:hint="eastAsia" w:ascii="Times New Roman" w:hAnsi="Times New Roman" w:eastAsia="仿宋_GB2312" w:cs="Times New Roman"/>
          <w:b w:val="0"/>
          <w:spacing w:val="-4"/>
          <w:sz w:val="32"/>
          <w:szCs w:val="32"/>
          <w:lang w:val="en-US" w:eastAsia="zh-CN"/>
        </w:rPr>
        <w:t>2.</w:t>
      </w:r>
      <w:r>
        <w:rPr>
          <w:rStyle w:val="11"/>
          <w:rFonts w:hint="default" w:ascii="Times New Roman" w:hAnsi="Times New Roman" w:eastAsia="仿宋_GB2312" w:cs="Times New Roman"/>
          <w:b w:val="0"/>
          <w:spacing w:val="-4"/>
          <w:sz w:val="32"/>
          <w:szCs w:val="32"/>
          <w:lang w:val="en-US" w:eastAsia="zh-CN"/>
        </w:rPr>
        <w:t>2025年新疆财经大学预算资金使用范围主要包括：</w:t>
      </w:r>
    </w:p>
    <w:p w14:paraId="614E5850">
      <w:pPr>
        <w:keepNext w:val="0"/>
        <w:keepLines w:val="0"/>
        <w:pageBreakBefore w:val="0"/>
        <w:widowControl w:val="0"/>
        <w:kinsoku/>
        <w:wordWrap/>
        <w:overflowPunct/>
        <w:topLinePunct w:val="0"/>
        <w:autoSpaceDE/>
        <w:autoSpaceDN/>
        <w:bidi w:val="0"/>
        <w:adjustRightInd/>
        <w:snapToGrid w:val="0"/>
        <w:spacing w:line="560" w:lineRule="exact"/>
        <w:ind w:firstLine="624" w:firstLineChars="200"/>
        <w:jc w:val="both"/>
        <w:textAlignment w:val="auto"/>
        <w:rPr>
          <w:rStyle w:val="11"/>
          <w:rFonts w:hint="default"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（1）工资福利支出包括</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基本工资、津贴补贴、奖金、绩效工资、城镇职工基本医疗保险缴、公务员医疗补助、机关事业单位基本养老保险缴费、其他社会保障缴费、住房公积金、职业年金缴费、其他工资福利支出；</w:t>
      </w:r>
    </w:p>
    <w:p w14:paraId="103AEDDD">
      <w:pPr>
        <w:keepNext w:val="0"/>
        <w:keepLines w:val="0"/>
        <w:pageBreakBefore w:val="0"/>
        <w:widowControl w:val="0"/>
        <w:kinsoku/>
        <w:wordWrap/>
        <w:overflowPunct/>
        <w:topLinePunct w:val="0"/>
        <w:autoSpaceDE/>
        <w:autoSpaceDN/>
        <w:bidi w:val="0"/>
        <w:adjustRightInd/>
        <w:snapToGrid w:val="0"/>
        <w:spacing w:line="560" w:lineRule="exact"/>
        <w:ind w:firstLine="624" w:firstLineChars="200"/>
        <w:jc w:val="both"/>
        <w:textAlignment w:val="auto"/>
        <w:rPr>
          <w:rStyle w:val="11"/>
          <w:rFonts w:hint="default"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（2）商品和服务支出包括</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办公费、印刷费、水费、电费、邮电费、取暖费、物业管理费、差旅费、维修（护）费、租赁费、培训费、公务接待费、专用材料费、劳务费、委托业务费、工会经费、福利费、公务用车运行维护费、其他交通费用、税金及附加费用、其他商品服务支出；</w:t>
      </w:r>
    </w:p>
    <w:p w14:paraId="0305D29A">
      <w:pPr>
        <w:keepNext w:val="0"/>
        <w:keepLines w:val="0"/>
        <w:pageBreakBefore w:val="0"/>
        <w:widowControl w:val="0"/>
        <w:kinsoku/>
        <w:wordWrap/>
        <w:overflowPunct/>
        <w:topLinePunct w:val="0"/>
        <w:autoSpaceDE/>
        <w:autoSpaceDN/>
        <w:bidi w:val="0"/>
        <w:adjustRightInd/>
        <w:snapToGrid w:val="0"/>
        <w:spacing w:line="560" w:lineRule="exact"/>
        <w:ind w:firstLine="624" w:firstLineChars="200"/>
        <w:jc w:val="both"/>
        <w:textAlignment w:val="auto"/>
        <w:rPr>
          <w:rStyle w:val="11"/>
          <w:rFonts w:hint="default"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（3）对个人和家庭补助支出包括</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离休费、退休费、生活补助、医疗费补助、助学金、抚恤金、其他对个人和家庭补助；</w:t>
      </w:r>
    </w:p>
    <w:p w14:paraId="6B3DC2EE">
      <w:pPr>
        <w:keepNext w:val="0"/>
        <w:keepLines w:val="0"/>
        <w:pageBreakBefore w:val="0"/>
        <w:widowControl w:val="0"/>
        <w:kinsoku/>
        <w:wordWrap/>
        <w:overflowPunct/>
        <w:topLinePunct w:val="0"/>
        <w:autoSpaceDE/>
        <w:autoSpaceDN/>
        <w:bidi w:val="0"/>
        <w:adjustRightInd/>
        <w:snapToGrid w:val="0"/>
        <w:spacing w:line="560" w:lineRule="exact"/>
        <w:ind w:firstLine="624" w:firstLineChars="200"/>
        <w:jc w:val="both"/>
        <w:textAlignment w:val="auto"/>
        <w:rPr>
          <w:rFonts w:hint="default" w:ascii="Times New Roman" w:hAnsi="Times New Roman" w:eastAsia="仿宋_GB2312" w:cs="Times New Roman"/>
          <w:b/>
          <w:sz w:val="32"/>
          <w:szCs w:val="32"/>
        </w:rPr>
      </w:pPr>
      <w:r>
        <w:rPr>
          <w:rStyle w:val="11"/>
          <w:rFonts w:hint="default" w:ascii="Times New Roman" w:hAnsi="Times New Roman" w:eastAsia="仿宋_GB2312" w:cs="Times New Roman"/>
          <w:b w:val="0"/>
          <w:spacing w:val="-4"/>
          <w:sz w:val="32"/>
          <w:szCs w:val="32"/>
          <w:lang w:val="en-US" w:eastAsia="zh-CN"/>
        </w:rPr>
        <w:t>（4）资本性支出包括</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办公设备购置、专用设备购置、其他资本性支出、房屋及建筑物购置。</w:t>
      </w:r>
    </w:p>
    <w:p w14:paraId="119177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二、部门单位整体支出管理及使用情况</w:t>
      </w:r>
    </w:p>
    <w:p w14:paraId="74298F10">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Cs/>
          <w:color w:val="333333"/>
          <w:sz w:val="32"/>
          <w:szCs w:val="32"/>
          <w:lang w:bidi="ar"/>
        </w:rPr>
        <w:t xml:space="preserve"> </w:t>
      </w:r>
      <w:r>
        <w:rPr>
          <w:rFonts w:hint="eastAsia" w:ascii="楷体_GB2312" w:hAnsi="楷体_GB2312" w:eastAsia="楷体_GB2312" w:cs="楷体_GB2312"/>
          <w:b/>
          <w:bCs/>
          <w:kern w:val="2"/>
          <w:sz w:val="32"/>
          <w:szCs w:val="32"/>
          <w:lang w:val="en-US" w:eastAsia="zh-CN" w:bidi="ar-SA"/>
        </w:rPr>
        <w:t>（一）整体支出规模</w:t>
      </w:r>
    </w:p>
    <w:p w14:paraId="0E788EEA">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lang w:val="en-US" w:eastAsia="zh-CN" w:bidi="ar-SA"/>
        </w:rPr>
        <w:t>2025年财政厅批复我部门</w:t>
      </w:r>
      <w:r>
        <w:rPr>
          <w:rFonts w:hint="eastAsia" w:ascii="Times New Roman" w:hAnsi="Times New Roman" w:eastAsia="仿宋_GB2312" w:cs="Times New Roman"/>
          <w:color w:val="auto"/>
          <w:kern w:val="2"/>
          <w:sz w:val="32"/>
          <w:szCs w:val="32"/>
          <w:lang w:val="en-US" w:eastAsia="zh-CN" w:bidi="ar-SA"/>
        </w:rPr>
        <w:t>年初</w:t>
      </w:r>
      <w:r>
        <w:rPr>
          <w:rFonts w:hint="default" w:ascii="Times New Roman" w:hAnsi="Times New Roman" w:eastAsia="仿宋_GB2312" w:cs="Times New Roman"/>
          <w:color w:val="auto"/>
          <w:kern w:val="2"/>
          <w:sz w:val="32"/>
          <w:szCs w:val="32"/>
          <w:lang w:val="en-US" w:eastAsia="zh-CN" w:bidi="ar-SA"/>
        </w:rPr>
        <w:t>预算</w:t>
      </w:r>
      <w:r>
        <w:rPr>
          <w:rFonts w:hint="eastAsia" w:ascii="Times New Roman" w:hAnsi="Times New Roman" w:eastAsia="仿宋_GB2312" w:cs="Times New Roman"/>
          <w:color w:val="auto"/>
          <w:kern w:val="2"/>
          <w:sz w:val="32"/>
          <w:szCs w:val="32"/>
          <w:lang w:val="en-US" w:eastAsia="zh-CN" w:bidi="ar-SA"/>
        </w:rPr>
        <w:t>数</w:t>
      </w:r>
      <w:r>
        <w:rPr>
          <w:rFonts w:hint="default" w:ascii="Times New Roman" w:hAnsi="Times New Roman" w:eastAsia="仿宋_GB2312" w:cs="Times New Roman"/>
          <w:color w:val="auto"/>
          <w:kern w:val="2"/>
          <w:sz w:val="32"/>
          <w:szCs w:val="32"/>
          <w:lang w:val="en-US" w:eastAsia="zh-CN" w:bidi="ar-SA"/>
        </w:rPr>
        <w:t>为72,533.18万元，全年预算数</w:t>
      </w:r>
      <w:r>
        <w:rPr>
          <w:rStyle w:val="11"/>
          <w:rFonts w:hint="default" w:ascii="Times New Roman" w:hAnsi="Times New Roman" w:eastAsia="仿宋_GB2312" w:cs="Times New Roman"/>
          <w:b w:val="0"/>
          <w:color w:val="auto"/>
          <w:spacing w:val="-4"/>
          <w:sz w:val="32"/>
          <w:szCs w:val="32"/>
          <w:lang w:val="en-US" w:eastAsia="zh-CN"/>
        </w:rPr>
        <w:t>71,900.92万元</w:t>
      </w:r>
      <w:r>
        <w:rPr>
          <w:rFonts w:hint="default" w:ascii="Times New Roman" w:hAnsi="Times New Roman" w:eastAsia="仿宋_GB2312" w:cs="Times New Roman"/>
          <w:color w:val="auto"/>
          <w:kern w:val="2"/>
          <w:sz w:val="32"/>
          <w:szCs w:val="32"/>
          <w:lang w:val="en-US" w:eastAsia="zh-CN" w:bidi="ar-SA"/>
        </w:rPr>
        <w:t>，实际支出57,199.</w:t>
      </w:r>
      <w:r>
        <w:rPr>
          <w:rFonts w:hint="eastAsia" w:ascii="Times New Roman" w:hAnsi="Times New Roman" w:eastAsia="仿宋_GB2312" w:cs="Times New Roman"/>
          <w:color w:val="auto"/>
          <w:kern w:val="2"/>
          <w:sz w:val="32"/>
          <w:szCs w:val="32"/>
          <w:lang w:val="en-US" w:eastAsia="zh-CN" w:bidi="ar-SA"/>
        </w:rPr>
        <w:t>4</w:t>
      </w:r>
      <w:r>
        <w:rPr>
          <w:rFonts w:hint="default" w:ascii="Times New Roman" w:hAnsi="Times New Roman" w:eastAsia="仿宋_GB2312" w:cs="Times New Roman"/>
          <w:color w:val="auto"/>
          <w:kern w:val="2"/>
          <w:sz w:val="32"/>
          <w:szCs w:val="32"/>
          <w:lang w:val="en-US" w:eastAsia="zh-CN" w:bidi="ar-SA"/>
        </w:rPr>
        <w:t>2万元，预算执行率</w:t>
      </w:r>
      <w:r>
        <w:rPr>
          <w:rFonts w:hint="default" w:ascii="Times New Roman" w:hAnsi="Times New Roman" w:eastAsia="仿宋_GB2312" w:cs="Times New Roman"/>
          <w:color w:val="auto"/>
          <w:kern w:val="2"/>
          <w:sz w:val="32"/>
          <w:szCs w:val="32"/>
          <w:highlight w:val="none"/>
          <w:lang w:val="en-US" w:eastAsia="zh-CN" w:bidi="ar-SA"/>
        </w:rPr>
        <w:t>79.</w:t>
      </w:r>
      <w:r>
        <w:rPr>
          <w:rFonts w:hint="eastAsia" w:ascii="Times New Roman" w:hAnsi="Times New Roman" w:eastAsia="仿宋_GB2312" w:cs="Times New Roman"/>
          <w:color w:val="auto"/>
          <w:kern w:val="2"/>
          <w:sz w:val="32"/>
          <w:szCs w:val="32"/>
          <w:highlight w:val="none"/>
          <w:lang w:val="en-US" w:eastAsia="zh-CN" w:bidi="ar-SA"/>
        </w:rPr>
        <w:t>55</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lang w:val="en-US" w:eastAsia="zh-CN" w:bidi="ar-SA"/>
        </w:rPr>
        <w:t>，其中基</w:t>
      </w:r>
      <w:r>
        <w:rPr>
          <w:rFonts w:hint="default" w:ascii="Times New Roman" w:hAnsi="Times New Roman" w:eastAsia="仿宋_GB2312" w:cs="Times New Roman"/>
          <w:color w:val="auto"/>
          <w:kern w:val="2"/>
          <w:sz w:val="32"/>
          <w:szCs w:val="32"/>
          <w:highlight w:val="none"/>
          <w:lang w:val="en-US" w:eastAsia="zh-CN" w:bidi="ar-SA"/>
        </w:rPr>
        <w:t>本支出</w:t>
      </w:r>
      <w:r>
        <w:rPr>
          <w:rFonts w:hint="default" w:ascii="Times New Roman" w:hAnsi="Times New Roman" w:eastAsia="仿宋_GB2312" w:cs="Times New Roman"/>
          <w:bCs/>
          <w:color w:val="auto"/>
          <w:sz w:val="32"/>
          <w:szCs w:val="32"/>
          <w:highlight w:val="none"/>
          <w:lang w:val="en-US" w:eastAsia="zh-CN"/>
        </w:rPr>
        <w:t>36,290.10</w:t>
      </w:r>
      <w:r>
        <w:rPr>
          <w:rFonts w:hint="default" w:ascii="Times New Roman" w:hAnsi="Times New Roman" w:eastAsia="仿宋_GB2312" w:cs="Times New Roman"/>
          <w:color w:val="auto"/>
          <w:kern w:val="2"/>
          <w:sz w:val="32"/>
          <w:szCs w:val="32"/>
          <w:lang w:val="en-US" w:eastAsia="zh-CN" w:bidi="ar-SA"/>
        </w:rPr>
        <w:t>万</w:t>
      </w:r>
      <w:r>
        <w:rPr>
          <w:rFonts w:hint="default" w:ascii="Times New Roman" w:hAnsi="Times New Roman" w:eastAsia="仿宋_GB2312" w:cs="Times New Roman"/>
          <w:color w:val="auto"/>
          <w:kern w:val="2"/>
          <w:sz w:val="32"/>
          <w:szCs w:val="32"/>
          <w:highlight w:val="none"/>
          <w:lang w:val="en-US" w:eastAsia="zh-CN" w:bidi="ar-SA"/>
        </w:rPr>
        <w:t>元，项目支出</w:t>
      </w:r>
      <w:r>
        <w:rPr>
          <w:rFonts w:hint="default" w:ascii="Times New Roman" w:hAnsi="Times New Roman" w:eastAsia="仿宋_GB2312" w:cs="Times New Roman"/>
          <w:color w:val="auto"/>
          <w:kern w:val="2"/>
          <w:sz w:val="32"/>
          <w:szCs w:val="32"/>
          <w:lang w:val="en-US" w:eastAsia="zh-CN" w:bidi="ar-SA"/>
        </w:rPr>
        <w:t>20,90</w:t>
      </w:r>
      <w:r>
        <w:rPr>
          <w:rFonts w:hint="eastAsia" w:ascii="Times New Roman" w:hAnsi="Times New Roman" w:eastAsia="仿宋_GB2312"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3</w:t>
      </w:r>
      <w:r>
        <w:rPr>
          <w:rFonts w:hint="default"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highlight w:val="none"/>
          <w:lang w:val="en-US" w:eastAsia="zh-CN" w:bidi="ar-SA"/>
        </w:rPr>
        <w:t>万元。根据自评要求，预算执行率指标得分</w:t>
      </w:r>
      <w:r>
        <w:rPr>
          <w:rFonts w:hint="default" w:ascii="Times New Roman" w:hAnsi="Times New Roman" w:eastAsia="仿宋_GB2312" w:cs="Times New Roman"/>
          <w:color w:val="auto"/>
          <w:kern w:val="2"/>
          <w:sz w:val="32"/>
          <w:szCs w:val="32"/>
          <w:lang w:val="en-US" w:eastAsia="zh-CN" w:bidi="ar-SA"/>
        </w:rPr>
        <w:t>8</w:t>
      </w:r>
      <w:r>
        <w:rPr>
          <w:rFonts w:hint="default" w:ascii="Times New Roman" w:hAnsi="Times New Roman" w:eastAsia="仿宋_GB2312" w:cs="Times New Roman"/>
          <w:color w:val="auto"/>
          <w:kern w:val="2"/>
          <w:sz w:val="32"/>
          <w:szCs w:val="32"/>
          <w:highlight w:val="none"/>
          <w:lang w:val="en-US" w:eastAsia="zh-CN" w:bidi="ar-SA"/>
        </w:rPr>
        <w:t>。</w:t>
      </w:r>
    </w:p>
    <w:p w14:paraId="70606E7F">
      <w:pPr>
        <w:pStyle w:val="2"/>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rPr>
      </w:pPr>
      <w:r>
        <w:rPr>
          <w:rFonts w:hint="default" w:ascii="Times New Roman" w:hAnsi="Times New Roman" w:cs="Times New Roman"/>
        </w:rPr>
        <w:t>（</w:t>
      </w:r>
      <w:r>
        <w:rPr>
          <w:rFonts w:hint="eastAsia" w:cs="Times New Roman"/>
          <w:lang w:val="en-US" w:eastAsia="zh-CN"/>
        </w:rPr>
        <w:t>二</w:t>
      </w:r>
      <w:r>
        <w:rPr>
          <w:rFonts w:hint="default" w:ascii="Times New Roman" w:hAnsi="Times New Roman" w:cs="Times New Roman"/>
        </w:rPr>
        <w:t>）基本支出管理及使用情况</w:t>
      </w:r>
    </w:p>
    <w:p w14:paraId="7537F08E">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我校基本支出严格</w:t>
      </w:r>
      <w:r>
        <w:rPr>
          <w:rFonts w:hint="eastAsia" w:ascii="Times New Roman" w:hAnsi="Times New Roman" w:eastAsia="仿宋_GB2312" w:cs="Times New Roman"/>
          <w:bCs/>
          <w:sz w:val="32"/>
          <w:szCs w:val="32"/>
          <w:highlight w:val="none"/>
          <w:lang w:val="en-US" w:eastAsia="zh-CN"/>
        </w:rPr>
        <w:t>依照</w:t>
      </w:r>
      <w:r>
        <w:rPr>
          <w:rFonts w:hint="default" w:ascii="Times New Roman" w:hAnsi="Times New Roman" w:eastAsia="仿宋_GB2312" w:cs="Times New Roman"/>
          <w:bCs/>
          <w:sz w:val="32"/>
          <w:szCs w:val="32"/>
          <w:highlight w:val="none"/>
        </w:rPr>
        <w:t>财政管理规定，主要用于保障学校日常运转，</w:t>
      </w:r>
      <w:r>
        <w:rPr>
          <w:rFonts w:hint="eastAsia" w:ascii="Times New Roman" w:hAnsi="Times New Roman" w:eastAsia="仿宋_GB2312" w:cs="Times New Roman"/>
          <w:bCs/>
          <w:sz w:val="32"/>
          <w:szCs w:val="32"/>
          <w:highlight w:val="none"/>
          <w:lang w:val="en-US" w:eastAsia="zh-CN"/>
        </w:rPr>
        <w:t>涉及</w:t>
      </w:r>
      <w:r>
        <w:rPr>
          <w:rFonts w:hint="default" w:ascii="Times New Roman" w:hAnsi="Times New Roman" w:eastAsia="仿宋_GB2312" w:cs="Times New Roman"/>
          <w:bCs/>
          <w:sz w:val="32"/>
          <w:szCs w:val="32"/>
          <w:highlight w:val="none"/>
        </w:rPr>
        <w:t>工资福利、商品服务及对个人和家庭的补助</w:t>
      </w:r>
      <w:r>
        <w:rPr>
          <w:rFonts w:hint="eastAsia" w:ascii="Times New Roman" w:hAnsi="Times New Roman" w:eastAsia="仿宋_GB2312" w:cs="Times New Roman"/>
          <w:bCs/>
          <w:sz w:val="32"/>
          <w:szCs w:val="32"/>
          <w:highlight w:val="none"/>
          <w:lang w:val="en-US" w:eastAsia="zh-CN"/>
        </w:rPr>
        <w:t>等</w:t>
      </w:r>
      <w:r>
        <w:rPr>
          <w:rFonts w:hint="default" w:ascii="Times New Roman" w:hAnsi="Times New Roman" w:eastAsia="仿宋_GB2312" w:cs="Times New Roman"/>
          <w:bCs/>
          <w:sz w:val="32"/>
          <w:szCs w:val="32"/>
          <w:highlight w:val="none"/>
        </w:rPr>
        <w:t>支出。在人员经费管理方面，严格</w:t>
      </w:r>
      <w:r>
        <w:rPr>
          <w:rFonts w:hint="eastAsia" w:ascii="Times New Roman" w:hAnsi="Times New Roman" w:eastAsia="仿宋_GB2312" w:cs="Times New Roman"/>
          <w:bCs/>
          <w:sz w:val="32"/>
          <w:szCs w:val="32"/>
          <w:highlight w:val="none"/>
          <w:lang w:val="en-US" w:eastAsia="zh-CN"/>
        </w:rPr>
        <w:t>按照</w:t>
      </w:r>
      <w:r>
        <w:rPr>
          <w:rFonts w:hint="default" w:ascii="Times New Roman" w:hAnsi="Times New Roman" w:eastAsia="仿宋_GB2312" w:cs="Times New Roman"/>
          <w:bCs/>
          <w:sz w:val="32"/>
          <w:szCs w:val="32"/>
          <w:highlight w:val="none"/>
        </w:rPr>
        <w:t>人事处工资系统核定标准及津贴管理办法</w:t>
      </w:r>
      <w:r>
        <w:rPr>
          <w:rFonts w:hint="eastAsia" w:ascii="Times New Roman" w:hAnsi="Times New Roman" w:eastAsia="仿宋_GB2312" w:cs="Times New Roman"/>
          <w:bCs/>
          <w:sz w:val="32"/>
          <w:szCs w:val="32"/>
          <w:highlight w:val="none"/>
          <w:lang w:val="en-US" w:eastAsia="zh-CN"/>
        </w:rPr>
        <w:t>进行</w:t>
      </w:r>
      <w:r>
        <w:rPr>
          <w:rFonts w:hint="default" w:ascii="Times New Roman" w:hAnsi="Times New Roman" w:eastAsia="仿宋_GB2312" w:cs="Times New Roman"/>
          <w:bCs/>
          <w:sz w:val="32"/>
          <w:szCs w:val="32"/>
          <w:highlight w:val="none"/>
        </w:rPr>
        <w:t>发放；公用经费管理</w:t>
      </w:r>
      <w:r>
        <w:rPr>
          <w:rFonts w:hint="eastAsia" w:ascii="Times New Roman" w:hAnsi="Times New Roman" w:eastAsia="仿宋_GB2312" w:cs="Times New Roman"/>
          <w:bCs/>
          <w:sz w:val="32"/>
          <w:szCs w:val="32"/>
          <w:highlight w:val="none"/>
          <w:lang w:val="en-US" w:eastAsia="zh-CN"/>
        </w:rPr>
        <w:t>秉持</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rPr>
        <w:t>过紧日子</w:t>
      </w:r>
      <w:r>
        <w:rPr>
          <w:rFonts w:hint="default" w:ascii="Times New Roman" w:hAnsi="Times New Roman" w:eastAsia="仿宋_GB2312" w:cs="Times New Roman"/>
          <w:bCs/>
          <w:sz w:val="32"/>
          <w:szCs w:val="32"/>
          <w:highlight w:val="none"/>
          <w:lang w:eastAsia="zh-CN"/>
        </w:rPr>
        <w:t>”</w:t>
      </w:r>
      <w:r>
        <w:rPr>
          <w:rFonts w:hint="eastAsia" w:ascii="Times New Roman" w:hAnsi="Times New Roman" w:eastAsia="仿宋_GB2312" w:cs="Times New Roman"/>
          <w:bCs/>
          <w:sz w:val="32"/>
          <w:szCs w:val="32"/>
          <w:highlight w:val="none"/>
          <w:lang w:val="en-US" w:eastAsia="zh-CN"/>
        </w:rPr>
        <w:t>的理念</w:t>
      </w:r>
      <w:r>
        <w:rPr>
          <w:rFonts w:hint="default" w:ascii="Times New Roman" w:hAnsi="Times New Roman" w:eastAsia="仿宋_GB2312" w:cs="Times New Roman"/>
          <w:bCs/>
          <w:sz w:val="32"/>
          <w:szCs w:val="32"/>
          <w:highlight w:val="none"/>
        </w:rPr>
        <w:t>，重点规范</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rPr>
        <w:t>三公</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rPr>
        <w:t>经费使用流程，确保支出严格控制在预算范围</w:t>
      </w:r>
      <w:r>
        <w:rPr>
          <w:rFonts w:hint="eastAsia" w:ascii="Times New Roman" w:hAnsi="Times New Roman" w:eastAsia="仿宋_GB2312" w:cs="Times New Roman"/>
          <w:bCs/>
          <w:sz w:val="32"/>
          <w:szCs w:val="32"/>
          <w:highlight w:val="none"/>
          <w:lang w:val="en-US" w:eastAsia="zh-CN"/>
        </w:rPr>
        <w:t>之</w:t>
      </w:r>
      <w:r>
        <w:rPr>
          <w:rFonts w:hint="default" w:ascii="Times New Roman" w:hAnsi="Times New Roman" w:eastAsia="仿宋_GB2312" w:cs="Times New Roman"/>
          <w:bCs/>
          <w:sz w:val="32"/>
          <w:szCs w:val="32"/>
          <w:highlight w:val="none"/>
        </w:rPr>
        <w:t>内。</w:t>
      </w:r>
    </w:p>
    <w:p w14:paraId="06AE48D1">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Cs/>
          <w:sz w:val="32"/>
          <w:szCs w:val="32"/>
          <w:highlight w:val="none"/>
          <w:lang w:val="en-US" w:eastAsia="zh-CN"/>
        </w:rPr>
      </w:pPr>
      <w:r>
        <w:rPr>
          <w:rFonts w:hint="default" w:ascii="Times New Roman" w:hAnsi="Times New Roman" w:eastAsia="仿宋_GB2312" w:cs="Times New Roman"/>
          <w:bCs/>
          <w:sz w:val="32"/>
          <w:szCs w:val="32"/>
          <w:highlight w:val="none"/>
        </w:rPr>
        <w:t>202</w:t>
      </w:r>
      <w:r>
        <w:rPr>
          <w:rFonts w:hint="eastAsia" w:ascii="Times New Roman" w:hAnsi="Times New Roman" w:eastAsia="仿宋_GB2312" w:cs="Times New Roman"/>
          <w:bCs/>
          <w:sz w:val="32"/>
          <w:szCs w:val="32"/>
          <w:highlight w:val="none"/>
          <w:lang w:val="en-US" w:eastAsia="zh-CN"/>
        </w:rPr>
        <w:t>5</w:t>
      </w:r>
      <w:r>
        <w:rPr>
          <w:rFonts w:hint="default" w:ascii="Times New Roman" w:hAnsi="Times New Roman" w:eastAsia="仿宋_GB2312" w:cs="Times New Roman"/>
          <w:bCs/>
          <w:sz w:val="32"/>
          <w:szCs w:val="32"/>
          <w:highlight w:val="none"/>
        </w:rPr>
        <w:t>年预算安排基本支出</w:t>
      </w:r>
      <w:r>
        <w:rPr>
          <w:rFonts w:hint="default" w:ascii="Times New Roman" w:hAnsi="Times New Roman" w:eastAsia="仿宋_GB2312" w:cs="Times New Roman"/>
          <w:kern w:val="2"/>
          <w:sz w:val="32"/>
          <w:szCs w:val="32"/>
          <w:lang w:val="en-US" w:eastAsia="zh-CN" w:bidi="ar-SA"/>
        </w:rPr>
        <w:t>36,451</w:t>
      </w:r>
      <w:r>
        <w:rPr>
          <w:rFonts w:hint="default" w:ascii="Times New Roman" w:hAnsi="Times New Roman" w:eastAsia="仿宋_GB2312" w:cs="Times New Roman"/>
          <w:bCs/>
          <w:sz w:val="32"/>
          <w:szCs w:val="32"/>
          <w:highlight w:val="none"/>
        </w:rPr>
        <w:t>万元，实际</w:t>
      </w:r>
      <w:r>
        <w:rPr>
          <w:rFonts w:hint="default" w:ascii="Times New Roman" w:hAnsi="Times New Roman" w:eastAsia="仿宋_GB2312" w:cs="Times New Roman"/>
          <w:bCs/>
          <w:sz w:val="32"/>
          <w:szCs w:val="32"/>
          <w:highlight w:val="none"/>
          <w:lang w:val="en-US" w:eastAsia="zh-CN"/>
        </w:rPr>
        <w:t>基本支出36,290.10</w:t>
      </w:r>
      <w:r>
        <w:rPr>
          <w:rFonts w:hint="default" w:ascii="Times New Roman" w:hAnsi="Times New Roman" w:eastAsia="仿宋_GB2312" w:cs="Times New Roman"/>
          <w:bCs/>
          <w:sz w:val="32"/>
          <w:szCs w:val="32"/>
          <w:highlight w:val="none"/>
        </w:rPr>
        <w:t>万元</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执行率99.5</w:t>
      </w:r>
      <w:r>
        <w:rPr>
          <w:rFonts w:hint="eastAsia" w:ascii="Times New Roman" w:hAnsi="Times New Roman" w:eastAsia="仿宋_GB2312" w:cs="Times New Roman"/>
          <w:bCs/>
          <w:sz w:val="32"/>
          <w:szCs w:val="32"/>
          <w:highlight w:val="none"/>
          <w:lang w:val="en-US" w:eastAsia="zh-CN"/>
        </w:rPr>
        <w:t>6</w:t>
      </w:r>
      <w:r>
        <w:rPr>
          <w:rFonts w:hint="default" w:ascii="Times New Roman" w:hAnsi="Times New Roman" w:eastAsia="仿宋_GB2312" w:cs="Times New Roman"/>
          <w:bCs/>
          <w:sz w:val="32"/>
          <w:szCs w:val="32"/>
          <w:highlight w:val="none"/>
          <w:lang w:val="en-US" w:eastAsia="zh-CN"/>
        </w:rPr>
        <w:t>%。</w:t>
      </w:r>
    </w:p>
    <w:p w14:paraId="53AEBD81">
      <w:pPr>
        <w:pStyle w:val="2"/>
        <w:pageBreakBefore w:val="0"/>
        <w:kinsoku/>
        <w:wordWrap/>
        <w:overflowPunct/>
        <w:topLinePunct w:val="0"/>
        <w:autoSpaceDE/>
        <w:autoSpaceDN/>
        <w:bidi w:val="0"/>
        <w:adjustRightInd/>
        <w:spacing w:beforeLines="0" w:afterLines="0" w:line="560" w:lineRule="exact"/>
        <w:textAlignment w:val="auto"/>
        <w:rPr>
          <w:rFonts w:hint="eastAsia" w:ascii="Times New Roman" w:hAnsi="Times New Roman" w:eastAsia="楷体_GB2312" w:cs="Times New Roman"/>
          <w:lang w:eastAsia="zh-CN"/>
        </w:rPr>
      </w:pPr>
      <w:bookmarkStart w:id="0" w:name="_Toc11417"/>
      <w:bookmarkStart w:id="1" w:name="_Toc4286"/>
      <w:bookmarkStart w:id="2" w:name="_Toc1491"/>
      <w:bookmarkStart w:id="3" w:name="_Toc13558"/>
      <w:bookmarkStart w:id="4" w:name="_Toc20238"/>
      <w:bookmarkStart w:id="5" w:name="_Toc3463"/>
      <w:bookmarkStart w:id="6" w:name="_Toc11622"/>
      <w:r>
        <w:rPr>
          <w:rFonts w:hint="default" w:ascii="Times New Roman" w:hAnsi="Times New Roman" w:cs="Times New Roman"/>
        </w:rPr>
        <w:t>（</w:t>
      </w:r>
      <w:r>
        <w:rPr>
          <w:rFonts w:hint="default" w:ascii="Times New Roman" w:hAnsi="Times New Roman" w:cs="Times New Roman"/>
          <w:lang w:val="en-US" w:eastAsia="zh-CN"/>
        </w:rPr>
        <w:t>三</w:t>
      </w:r>
      <w:r>
        <w:rPr>
          <w:rFonts w:hint="default" w:ascii="Times New Roman" w:hAnsi="Times New Roman" w:cs="Times New Roman"/>
        </w:rPr>
        <w:t>）</w:t>
      </w:r>
      <w:r>
        <w:rPr>
          <w:rFonts w:hint="eastAsia" w:cs="Times New Roman"/>
          <w:lang w:val="en-US" w:eastAsia="zh-CN"/>
        </w:rPr>
        <w:t>政策</w:t>
      </w:r>
      <w:bookmarkEnd w:id="0"/>
      <w:bookmarkEnd w:id="1"/>
      <w:bookmarkEnd w:id="2"/>
      <w:bookmarkEnd w:id="3"/>
      <w:bookmarkEnd w:id="4"/>
      <w:bookmarkEnd w:id="5"/>
      <w:bookmarkEnd w:id="6"/>
      <w:r>
        <w:rPr>
          <w:rFonts w:hint="eastAsia" w:cs="Times New Roman"/>
          <w:lang w:val="en-US" w:eastAsia="zh-CN"/>
        </w:rPr>
        <w:t>实施</w:t>
      </w:r>
    </w:p>
    <w:p w14:paraId="75097F86">
      <w:pPr>
        <w:pageBreakBefore w:val="0"/>
        <w:kinsoku/>
        <w:wordWrap/>
        <w:overflowPunct/>
        <w:topLinePunct w:val="0"/>
        <w:autoSpaceDE/>
        <w:autoSpaceDN/>
        <w:bidi w:val="0"/>
        <w:adjustRightInd/>
        <w:snapToGrid w:val="0"/>
        <w:spacing w:line="560" w:lineRule="exact"/>
        <w:ind w:firstLine="640"/>
        <w:textAlignment w:val="auto"/>
        <w:outlineLvl w:val="2"/>
        <w:rPr>
          <w:rFonts w:hint="default" w:ascii="Times New Roman" w:hAnsi="Times New Roman" w:eastAsia="仿宋_GB2312" w:cs="Times New Roman"/>
          <w:b/>
          <w:sz w:val="32"/>
          <w:szCs w:val="32"/>
        </w:rPr>
      </w:pPr>
      <w:bookmarkStart w:id="7" w:name="_Toc14943"/>
      <w:bookmarkStart w:id="8" w:name="_Toc3744"/>
      <w:bookmarkStart w:id="9" w:name="_Toc7543"/>
      <w:r>
        <w:rPr>
          <w:rFonts w:hint="default" w:ascii="Times New Roman" w:hAnsi="Times New Roman" w:eastAsia="仿宋_GB2312" w:cs="Times New Roman"/>
          <w:b/>
          <w:sz w:val="32"/>
          <w:szCs w:val="32"/>
        </w:rPr>
        <w:t>1.管理制度健全性</w:t>
      </w:r>
      <w:bookmarkEnd w:id="7"/>
      <w:bookmarkEnd w:id="8"/>
      <w:bookmarkEnd w:id="9"/>
    </w:p>
    <w:p w14:paraId="1844F5CC">
      <w:pPr>
        <w:pageBreakBefore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部门预算管理制度健全。整体支出</w:t>
      </w:r>
      <w:r>
        <w:rPr>
          <w:rFonts w:hint="default" w:ascii="Times New Roman" w:hAnsi="Times New Roman" w:eastAsia="仿宋_GB2312" w:cs="Times New Roman"/>
          <w:kern w:val="1"/>
          <w:sz w:val="32"/>
          <w:szCs w:val="32"/>
        </w:rPr>
        <w:t>根据自治区财政厅预算管理工作要求、《新疆财经大学预算管理办法》《新疆财经大学预算执行进度考核办法》《新疆财经大学一流本科专业与培育专业（课程）建设实施方案（2021-2025）》《教育部办公厅关于推荐新文科研究与改革实践项目的通知》《新疆财经大学教学案例建设与奖励办法（试行）》《新疆财经大学省部级及以上重点扶持大赛项目奖励办法》《新疆财经大学高层次人才引进办法》等相关制度规定，结合学校“十四五”规划、上年度预算安排和执行情况等，核定部门整体支出预算。</w:t>
      </w:r>
    </w:p>
    <w:p w14:paraId="261CEADF">
      <w:pPr>
        <w:pageBreakBefore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严格</w:t>
      </w:r>
      <w:r>
        <w:rPr>
          <w:rFonts w:hint="default" w:ascii="Times New Roman" w:hAnsi="Times New Roman" w:eastAsia="仿宋_GB2312" w:cs="Times New Roman"/>
          <w:bCs/>
          <w:sz w:val="32"/>
          <w:szCs w:val="32"/>
        </w:rPr>
        <w:t>落实《新疆财经大学预算管理办法》和《新疆财经大学经费审批办法》的相关规定，坚持</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无预算不支出、超预算不支出</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的原则，从严把控预算管理，切实增强预算执行的刚性约束。在政府采购方面，资产管理部门严格依照《中华人民共和国政府采购法》及其实施条例，以及《新疆财经大学采购与招标管理办法》《新疆财经大学自行采购管理办法》《新疆财经大学固定资产管理办法》和《新疆财经大学合同管理办法（试行）》等规章制度，规范开展公开招标、邀请招标等采购活动。</w:t>
      </w:r>
      <w:r>
        <w:rPr>
          <w:rFonts w:hint="eastAsia" w:ascii="Times New Roman" w:hAnsi="Times New Roman" w:eastAsia="仿宋_GB2312" w:cs="Times New Roman"/>
          <w:bCs/>
          <w:sz w:val="32"/>
          <w:szCs w:val="32"/>
          <w:lang w:val="en-US" w:eastAsia="zh-CN"/>
        </w:rPr>
        <w:t>针</w:t>
      </w:r>
      <w:r>
        <w:rPr>
          <w:rFonts w:hint="default" w:ascii="Times New Roman" w:hAnsi="Times New Roman" w:eastAsia="仿宋_GB2312" w:cs="Times New Roman"/>
          <w:bCs/>
          <w:sz w:val="32"/>
          <w:szCs w:val="32"/>
        </w:rPr>
        <w:t>对非政府采购事项，严格执行</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三重一大</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决策制度，所有重大项目支出均须提交学校</w:t>
      </w:r>
      <w:r>
        <w:rPr>
          <w:rFonts w:hint="eastAsia" w:ascii="Times New Roman" w:hAnsi="Times New Roman" w:eastAsia="仿宋_GB2312" w:cs="Times New Roman"/>
          <w:bCs/>
          <w:sz w:val="32"/>
          <w:szCs w:val="32"/>
          <w:lang w:val="en-US" w:eastAsia="zh-CN"/>
        </w:rPr>
        <w:t>校长办公会或</w:t>
      </w:r>
      <w:r>
        <w:rPr>
          <w:rFonts w:hint="default" w:ascii="Times New Roman" w:hAnsi="Times New Roman" w:eastAsia="仿宋_GB2312" w:cs="Times New Roman"/>
          <w:bCs/>
          <w:sz w:val="32"/>
          <w:szCs w:val="32"/>
        </w:rPr>
        <w:t>党委常委会集体研究审议</w:t>
      </w:r>
      <w:r>
        <w:rPr>
          <w:rFonts w:hint="eastAsia" w:ascii="Times New Roman" w:hAnsi="Times New Roman" w:eastAsia="仿宋_GB2312" w:cs="Times New Roman"/>
          <w:bCs/>
          <w:sz w:val="32"/>
          <w:szCs w:val="32"/>
          <w:lang w:val="en-US" w:eastAsia="zh-CN"/>
        </w:rPr>
        <w:t>通过</w:t>
      </w:r>
      <w:r>
        <w:rPr>
          <w:rFonts w:hint="default" w:ascii="Times New Roman" w:hAnsi="Times New Roman" w:eastAsia="仿宋_GB2312" w:cs="Times New Roman"/>
          <w:bCs/>
          <w:sz w:val="32"/>
          <w:szCs w:val="32"/>
        </w:rPr>
        <w:t>后方</w:t>
      </w:r>
      <w:r>
        <w:rPr>
          <w:rFonts w:hint="eastAsia" w:ascii="Times New Roman" w:hAnsi="Times New Roman" w:eastAsia="仿宋_GB2312" w:cs="Times New Roman"/>
          <w:bCs/>
          <w:sz w:val="32"/>
          <w:szCs w:val="32"/>
          <w:lang w:val="en-US" w:eastAsia="zh-CN"/>
        </w:rPr>
        <w:t>可组织</w:t>
      </w:r>
      <w:r>
        <w:rPr>
          <w:rFonts w:hint="default" w:ascii="Times New Roman" w:hAnsi="Times New Roman" w:eastAsia="仿宋_GB2312" w:cs="Times New Roman"/>
          <w:bCs/>
          <w:sz w:val="32"/>
          <w:szCs w:val="32"/>
        </w:rPr>
        <w:t>实施。</w:t>
      </w:r>
    </w:p>
    <w:p w14:paraId="6C42EFC7">
      <w:pPr>
        <w:pStyle w:val="8"/>
        <w:pageBreakBefore w:val="0"/>
        <w:kinsoku/>
        <w:wordWrap/>
        <w:overflowPunct/>
        <w:topLinePunct w:val="0"/>
        <w:autoSpaceDE/>
        <w:autoSpaceDN/>
        <w:bidi w:val="0"/>
        <w:adjustRightInd/>
        <w:spacing w:line="560" w:lineRule="exact"/>
        <w:ind w:firstLine="640"/>
        <w:textAlignment w:val="auto"/>
        <w:rPr>
          <w:rFonts w:hint="default" w:ascii="Times New Roman" w:hAnsi="Times New Roman" w:cs="Times New Roman"/>
        </w:rPr>
      </w:pPr>
      <w:r>
        <w:rPr>
          <w:rFonts w:hint="default" w:ascii="Times New Roman" w:hAnsi="Times New Roman" w:cs="Times New Roman"/>
        </w:rPr>
        <w:t>为强化预算执行管理，我校严格按照《</w:t>
      </w:r>
      <w:r>
        <w:rPr>
          <w:rFonts w:hint="eastAsia" w:ascii="Times New Roman" w:hAnsi="Times New Roman" w:cs="Times New Roman"/>
          <w:lang w:val="en-US" w:eastAsia="zh-CN"/>
        </w:rPr>
        <w:t>新疆财经</w:t>
      </w:r>
      <w:r>
        <w:rPr>
          <w:rFonts w:hint="default" w:ascii="Times New Roman" w:hAnsi="Times New Roman" w:cs="Times New Roman"/>
        </w:rPr>
        <w:t>大学预算执行进度考核办法》相关规定，建立常态化预算执行监控机制，定期通报预算执行情况，实时跟踪资金使用效益，切实加快项目实施进度。同时，将预算执行情况与预算编制紧密</w:t>
      </w:r>
      <w:r>
        <w:rPr>
          <w:rFonts w:hint="eastAsia" w:ascii="Times New Roman" w:hAnsi="Times New Roman" w:cs="Times New Roman"/>
          <w:lang w:val="en-US" w:eastAsia="zh-CN"/>
        </w:rPr>
        <w:t>结合</w:t>
      </w:r>
      <w:r>
        <w:rPr>
          <w:rFonts w:hint="default" w:ascii="Times New Roman" w:hAnsi="Times New Roman" w:cs="Times New Roman"/>
        </w:rPr>
        <w:t>，作为编制下年度预算及资金分配的重要依据。对上年度预算执行未达进度要求的单位，按未完成比例相应核减下年度预算额度；对零支出或支出进度严重滞后且无正当理由的项目，视情调减或取消下年度预算安排。</w:t>
      </w:r>
    </w:p>
    <w:p w14:paraId="0E4A9E91">
      <w:pPr>
        <w:pageBreakBefore w:val="0"/>
        <w:kinsoku/>
        <w:wordWrap/>
        <w:overflowPunct/>
        <w:topLinePunct w:val="0"/>
        <w:autoSpaceDE/>
        <w:autoSpaceDN/>
        <w:bidi w:val="0"/>
        <w:adjustRightInd/>
        <w:snapToGrid w:val="0"/>
        <w:spacing w:line="560" w:lineRule="exact"/>
        <w:ind w:firstLine="640"/>
        <w:textAlignment w:val="auto"/>
        <w:outlineLvl w:val="2"/>
        <w:rPr>
          <w:rFonts w:hint="default" w:ascii="Times New Roman" w:hAnsi="Times New Roman" w:eastAsia="仿宋_GB2312" w:cs="Times New Roman"/>
          <w:b/>
          <w:sz w:val="32"/>
          <w:szCs w:val="32"/>
        </w:rPr>
      </w:pPr>
      <w:bookmarkStart w:id="10" w:name="_Toc23986"/>
      <w:bookmarkStart w:id="11" w:name="_Toc26307"/>
      <w:bookmarkStart w:id="12" w:name="_Toc20983"/>
      <w:r>
        <w:rPr>
          <w:rFonts w:hint="default" w:ascii="Times New Roman" w:hAnsi="Times New Roman" w:eastAsia="仿宋_GB2312" w:cs="Times New Roman"/>
          <w:b/>
          <w:sz w:val="32"/>
          <w:szCs w:val="32"/>
        </w:rPr>
        <w:t>2.资金使用合规性和安全性</w:t>
      </w:r>
      <w:bookmarkEnd w:id="10"/>
      <w:bookmarkEnd w:id="11"/>
      <w:bookmarkEnd w:id="12"/>
    </w:p>
    <w:p w14:paraId="08E3D5A3">
      <w:pPr>
        <w:pageBreakBefore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Cs/>
          <w:sz w:val="32"/>
          <w:szCs w:val="32"/>
          <w:lang w:val="en-US" w:eastAsia="zh-CN" w:bidi="ar"/>
        </w:rPr>
      </w:pPr>
      <w:r>
        <w:rPr>
          <w:rFonts w:hint="default" w:ascii="Times New Roman" w:hAnsi="Times New Roman" w:eastAsia="仿宋_GB2312" w:cs="Times New Roman"/>
          <w:bCs/>
          <w:sz w:val="32"/>
          <w:szCs w:val="32"/>
          <w:lang w:val="en-US" w:eastAsia="zh-CN" w:bidi="ar"/>
        </w:rPr>
        <w:t>为</w:t>
      </w:r>
      <w:r>
        <w:rPr>
          <w:rFonts w:hint="eastAsia" w:ascii="Times New Roman" w:hAnsi="Times New Roman" w:eastAsia="仿宋_GB2312" w:cs="Times New Roman"/>
          <w:bCs/>
          <w:sz w:val="32"/>
          <w:szCs w:val="32"/>
          <w:lang w:val="en-US" w:eastAsia="zh-CN" w:bidi="ar"/>
        </w:rPr>
        <w:t>确保</w:t>
      </w:r>
      <w:r>
        <w:rPr>
          <w:rFonts w:hint="default" w:ascii="Times New Roman" w:hAnsi="Times New Roman" w:eastAsia="仿宋_GB2312" w:cs="Times New Roman"/>
          <w:bCs/>
          <w:sz w:val="32"/>
          <w:szCs w:val="32"/>
          <w:lang w:val="en-US" w:eastAsia="zh-CN" w:bidi="ar"/>
        </w:rPr>
        <w:t>部门整体支出规范有序、安全高效，我校严格执行各项财务管理制度。基本经费使用中，人员经费和公用支出严格按照国家及地方</w:t>
      </w:r>
      <w:r>
        <w:rPr>
          <w:rFonts w:hint="eastAsia" w:ascii="Times New Roman" w:hAnsi="Times New Roman" w:eastAsia="仿宋_GB2312" w:cs="Times New Roman"/>
          <w:bCs/>
          <w:sz w:val="32"/>
          <w:szCs w:val="32"/>
          <w:lang w:val="en-US" w:eastAsia="zh-CN" w:bidi="ar"/>
        </w:rPr>
        <w:t>等</w:t>
      </w:r>
      <w:r>
        <w:rPr>
          <w:rFonts w:hint="default" w:ascii="Times New Roman" w:hAnsi="Times New Roman" w:eastAsia="仿宋_GB2312" w:cs="Times New Roman"/>
          <w:bCs/>
          <w:sz w:val="32"/>
          <w:szCs w:val="32"/>
          <w:lang w:val="en-US" w:eastAsia="zh-CN" w:bidi="ar"/>
        </w:rPr>
        <w:t>相关规定执行，为学校日常运转提供坚实保障；项目经费管理坚持效益优先</w:t>
      </w:r>
      <w:r>
        <w:rPr>
          <w:rFonts w:hint="eastAsia" w:ascii="Times New Roman" w:hAnsi="Times New Roman" w:eastAsia="仿宋_GB2312" w:cs="Times New Roman"/>
          <w:bCs/>
          <w:sz w:val="32"/>
          <w:szCs w:val="32"/>
          <w:lang w:val="en-US" w:eastAsia="zh-CN" w:bidi="ar"/>
        </w:rPr>
        <w:t>原则</w:t>
      </w:r>
      <w:r>
        <w:rPr>
          <w:rFonts w:hint="default" w:ascii="Times New Roman" w:hAnsi="Times New Roman" w:eastAsia="仿宋_GB2312" w:cs="Times New Roman"/>
          <w:bCs/>
          <w:sz w:val="32"/>
          <w:szCs w:val="32"/>
          <w:lang w:val="en-US" w:eastAsia="zh-CN" w:bidi="ar"/>
        </w:rPr>
        <w:t>，在保障各项建设任务高质量完成的</w:t>
      </w:r>
      <w:r>
        <w:rPr>
          <w:rFonts w:hint="eastAsia" w:ascii="Times New Roman" w:hAnsi="Times New Roman" w:eastAsia="仿宋_GB2312" w:cs="Times New Roman"/>
          <w:bCs/>
          <w:sz w:val="32"/>
          <w:szCs w:val="32"/>
          <w:lang w:val="en-US" w:eastAsia="zh-CN" w:bidi="ar"/>
        </w:rPr>
        <w:t>同时</w:t>
      </w:r>
      <w:r>
        <w:rPr>
          <w:rFonts w:hint="default" w:ascii="Times New Roman" w:hAnsi="Times New Roman" w:eastAsia="仿宋_GB2312" w:cs="Times New Roman"/>
          <w:bCs/>
          <w:sz w:val="32"/>
          <w:szCs w:val="32"/>
          <w:lang w:val="en-US" w:eastAsia="zh-CN" w:bidi="ar"/>
        </w:rPr>
        <w:t>，严格落实厉行节约要求，着力提升资金使用效益。通过健全资金运行管理机制、强化项目全过程管控，确保资金决策科学、管理规范、执行高效，切实发挥</w:t>
      </w:r>
      <w:r>
        <w:rPr>
          <w:rFonts w:hint="eastAsia" w:ascii="Times New Roman" w:hAnsi="Times New Roman" w:eastAsia="仿宋_GB2312" w:cs="Times New Roman"/>
          <w:bCs/>
          <w:sz w:val="32"/>
          <w:szCs w:val="32"/>
          <w:lang w:val="en-US" w:eastAsia="zh-CN" w:bidi="ar"/>
        </w:rPr>
        <w:t>财政资金使用</w:t>
      </w:r>
      <w:r>
        <w:rPr>
          <w:rFonts w:hint="default" w:ascii="Times New Roman" w:hAnsi="Times New Roman" w:eastAsia="仿宋_GB2312" w:cs="Times New Roman"/>
          <w:bCs/>
          <w:sz w:val="32"/>
          <w:szCs w:val="32"/>
          <w:lang w:val="en-US" w:eastAsia="zh-CN" w:bidi="ar"/>
        </w:rPr>
        <w:t>效益</w:t>
      </w:r>
      <w:r>
        <w:rPr>
          <w:rFonts w:hint="eastAsia" w:ascii="Times New Roman" w:hAnsi="Times New Roman" w:eastAsia="仿宋_GB2312" w:cs="Times New Roman"/>
          <w:bCs/>
          <w:sz w:val="32"/>
          <w:szCs w:val="32"/>
          <w:lang w:val="en-US" w:eastAsia="zh-CN" w:bidi="ar"/>
        </w:rPr>
        <w:t>和</w:t>
      </w:r>
      <w:r>
        <w:rPr>
          <w:rFonts w:hint="default" w:ascii="Times New Roman" w:hAnsi="Times New Roman" w:eastAsia="仿宋_GB2312" w:cs="Times New Roman"/>
          <w:bCs/>
          <w:sz w:val="32"/>
          <w:szCs w:val="32"/>
          <w:lang w:val="en-US" w:eastAsia="zh-CN" w:bidi="ar"/>
        </w:rPr>
        <w:t>政策引导作用。</w:t>
      </w:r>
    </w:p>
    <w:p w14:paraId="197C8415">
      <w:pPr>
        <w:pageBreakBefore w:val="0"/>
        <w:kinsoku/>
        <w:wordWrap/>
        <w:overflowPunct/>
        <w:topLinePunct w:val="0"/>
        <w:autoSpaceDE/>
        <w:autoSpaceDN/>
        <w:bidi w:val="0"/>
        <w:adjustRightInd/>
        <w:snapToGrid w:val="0"/>
        <w:spacing w:line="560" w:lineRule="exact"/>
        <w:ind w:firstLine="640"/>
        <w:textAlignment w:val="auto"/>
        <w:outlineLvl w:val="2"/>
        <w:rPr>
          <w:rFonts w:hint="default" w:ascii="Times New Roman" w:hAnsi="Times New Roman" w:eastAsia="仿宋_GB2312" w:cs="Times New Roman"/>
          <w:b/>
          <w:sz w:val="32"/>
          <w:szCs w:val="32"/>
        </w:rPr>
      </w:pPr>
      <w:bookmarkStart w:id="13" w:name="_Toc21280"/>
      <w:bookmarkStart w:id="14" w:name="_Toc7163"/>
      <w:bookmarkStart w:id="15" w:name="_Toc1070"/>
      <w:r>
        <w:rPr>
          <w:rFonts w:hint="default" w:ascii="Times New Roman" w:hAnsi="Times New Roman" w:eastAsia="仿宋_GB2312" w:cs="Times New Roman"/>
          <w:b/>
          <w:sz w:val="32"/>
          <w:szCs w:val="32"/>
        </w:rPr>
        <w:t>3.预算信息公开性</w:t>
      </w:r>
      <w:bookmarkEnd w:id="13"/>
      <w:bookmarkEnd w:id="14"/>
      <w:bookmarkEnd w:id="15"/>
    </w:p>
    <w:p w14:paraId="4821E2B5">
      <w:pPr>
        <w:pStyle w:val="4"/>
        <w:pageBreakBefore w:val="0"/>
        <w:kinsoku/>
        <w:wordWrap/>
        <w:overflowPunct/>
        <w:topLinePunct w:val="0"/>
        <w:autoSpaceDE/>
        <w:autoSpaceDN/>
        <w:bidi w:val="0"/>
        <w:adjustRightInd/>
        <w:spacing w:line="560" w:lineRule="exact"/>
        <w:textAlignment w:val="auto"/>
        <w:rPr>
          <w:rFonts w:hint="default" w:ascii="Times New Roman" w:hAnsi="Times New Roman" w:cs="Times New Roman"/>
        </w:rPr>
      </w:pPr>
      <w:bookmarkStart w:id="16" w:name="_Toc536"/>
      <w:bookmarkStart w:id="17" w:name="_Toc31129"/>
      <w:r>
        <w:rPr>
          <w:rFonts w:hint="default" w:ascii="Times New Roman" w:hAnsi="Times New Roman" w:cs="Times New Roman"/>
        </w:rPr>
        <w:t>我校严格贯彻落实自治区财政厅预决算公开工作部署，坚守“以公开为常态、不公开为例外”的原则，扎实推进预决算信息公开各项工作。明确公开主体、细化公开内容、规范公开程序、严守公开时限，确保预决算信息与绩效管理数据依法依规全面公开，做到公开透明、应公尽公，主动接受社会各界监督。</w:t>
      </w:r>
    </w:p>
    <w:p w14:paraId="6227A1DC">
      <w:pPr>
        <w:pStyle w:val="4"/>
        <w:pageBreakBefore w:val="0"/>
        <w:kinsoku/>
        <w:wordWrap/>
        <w:overflowPunct/>
        <w:topLinePunct w:val="0"/>
        <w:autoSpaceDE/>
        <w:autoSpaceDN/>
        <w:bidi w:val="0"/>
        <w:adjustRightInd/>
        <w:spacing w:line="560" w:lineRule="exact"/>
        <w:textAlignment w:val="auto"/>
        <w:rPr>
          <w:rFonts w:hint="default" w:ascii="Times New Roman" w:hAnsi="Times New Roman" w:cs="Times New Roman"/>
        </w:rPr>
      </w:pPr>
      <w:r>
        <w:rPr>
          <w:rFonts w:hint="default" w:ascii="Times New Roman" w:hAnsi="Times New Roman" w:cs="Times New Roman"/>
        </w:rPr>
        <w:t>我校严格遵照自治区财政厅预决算公开相关规定</w:t>
      </w:r>
      <w:r>
        <w:rPr>
          <w:rFonts w:hint="eastAsia" w:ascii="Times New Roman" w:hAnsi="Times New Roman" w:cs="Times New Roman"/>
          <w:lang w:eastAsia="zh-CN"/>
        </w:rPr>
        <w:t>，在</w:t>
      </w:r>
      <w:r>
        <w:rPr>
          <w:rFonts w:hint="default" w:ascii="Times New Roman" w:hAnsi="Times New Roman" w:cs="Times New Roman"/>
        </w:rPr>
        <w:t>完成财政审核流程后，及时通过学校门户网站“通知公告”专栏公开部门预决算信息，并保障公开数据长期留存。与此同时，按要求报送预决算资料至自治区财政厅开展集中公开，构建校内自主公开、区级集中公开的“双公开”机制，夯实公开工作实效。</w:t>
      </w:r>
    </w:p>
    <w:bookmarkEnd w:id="16"/>
    <w:bookmarkEnd w:id="17"/>
    <w:p w14:paraId="5120C089">
      <w:pPr>
        <w:pStyle w:val="2"/>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highlight w:val="none"/>
        </w:rPr>
      </w:pPr>
      <w:bookmarkStart w:id="18" w:name="_Toc17634"/>
      <w:bookmarkStart w:id="19" w:name="_Toc2727"/>
      <w:bookmarkStart w:id="20" w:name="_Toc13101"/>
      <w:bookmarkStart w:id="21" w:name="_Toc3509"/>
      <w:bookmarkStart w:id="22" w:name="_Toc7607"/>
      <w:bookmarkStart w:id="23" w:name="_Toc1325"/>
      <w:bookmarkStart w:id="24" w:name="_Toc9255"/>
      <w:r>
        <w:rPr>
          <w:rFonts w:hint="default" w:ascii="Times New Roman" w:hAnsi="Times New Roman" w:cs="Times New Roman"/>
          <w:highlight w:val="none"/>
        </w:rPr>
        <w:t>（</w:t>
      </w:r>
      <w:r>
        <w:rPr>
          <w:rFonts w:hint="eastAsia" w:cs="Times New Roman"/>
          <w:highlight w:val="none"/>
          <w:lang w:val="en-US" w:eastAsia="zh-CN"/>
        </w:rPr>
        <w:t>四</w:t>
      </w:r>
      <w:r>
        <w:rPr>
          <w:rFonts w:hint="default" w:ascii="Times New Roman" w:hAnsi="Times New Roman" w:cs="Times New Roman"/>
          <w:highlight w:val="none"/>
        </w:rPr>
        <w:t>）项目支出管理及使用情况</w:t>
      </w:r>
      <w:bookmarkEnd w:id="18"/>
      <w:bookmarkEnd w:id="19"/>
      <w:bookmarkEnd w:id="20"/>
      <w:bookmarkEnd w:id="21"/>
      <w:bookmarkEnd w:id="22"/>
      <w:bookmarkEnd w:id="23"/>
      <w:bookmarkEnd w:id="24"/>
    </w:p>
    <w:p w14:paraId="064C7FED">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highlight w:val="none"/>
        </w:rPr>
      </w:pPr>
      <w:bookmarkStart w:id="25" w:name="_Toc10480"/>
      <w:bookmarkStart w:id="26" w:name="_Toc7"/>
      <w:bookmarkStart w:id="27" w:name="_Toc4509"/>
      <w:r>
        <w:rPr>
          <w:rFonts w:hint="default" w:ascii="Times New Roman" w:hAnsi="Times New Roman" w:cs="Times New Roman"/>
          <w:highlight w:val="none"/>
        </w:rPr>
        <w:t>1.专项资金安排落实、总投入等情况分析</w:t>
      </w:r>
      <w:bookmarkEnd w:id="25"/>
      <w:bookmarkEnd w:id="26"/>
      <w:bookmarkEnd w:id="27"/>
    </w:p>
    <w:p w14:paraId="6325733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Cs/>
          <w:color w:val="FF0000"/>
          <w:sz w:val="32"/>
          <w:szCs w:val="32"/>
          <w:highlight w:val="none"/>
          <w:lang w:val="en-US" w:eastAsia="zh-CN"/>
        </w:rPr>
      </w:pPr>
      <w:r>
        <w:rPr>
          <w:rFonts w:hint="default" w:ascii="Times New Roman" w:hAnsi="Times New Roman" w:eastAsia="仿宋_GB2312" w:cs="Times New Roman"/>
          <w:bCs/>
          <w:sz w:val="32"/>
          <w:szCs w:val="32"/>
          <w:highlight w:val="none"/>
        </w:rPr>
        <w:t>202</w:t>
      </w:r>
      <w:r>
        <w:rPr>
          <w:rFonts w:hint="default" w:ascii="Times New Roman" w:hAnsi="Times New Roman" w:eastAsia="仿宋_GB2312" w:cs="Times New Roman"/>
          <w:bCs/>
          <w:sz w:val="32"/>
          <w:szCs w:val="32"/>
          <w:highlight w:val="none"/>
          <w:lang w:val="en-US" w:eastAsia="zh-CN"/>
        </w:rPr>
        <w:t>5</w:t>
      </w:r>
      <w:r>
        <w:rPr>
          <w:rFonts w:hint="default" w:ascii="Times New Roman" w:hAnsi="Times New Roman" w:eastAsia="仿宋_GB2312" w:cs="Times New Roman"/>
          <w:bCs/>
          <w:sz w:val="32"/>
          <w:szCs w:val="32"/>
          <w:highlight w:val="none"/>
        </w:rPr>
        <w:t>年</w:t>
      </w:r>
      <w:r>
        <w:rPr>
          <w:rFonts w:hint="default" w:ascii="Times New Roman" w:hAnsi="Times New Roman" w:eastAsia="仿宋_GB2312" w:cs="Times New Roman"/>
          <w:bCs/>
          <w:sz w:val="32"/>
          <w:szCs w:val="32"/>
          <w:highlight w:val="none"/>
          <w:lang w:val="en-US" w:eastAsia="zh-CN"/>
        </w:rPr>
        <w:t>我部门</w:t>
      </w:r>
      <w:r>
        <w:rPr>
          <w:rFonts w:hint="default" w:ascii="Times New Roman" w:hAnsi="Times New Roman" w:eastAsia="仿宋_GB2312" w:cs="Times New Roman"/>
          <w:bCs/>
          <w:sz w:val="32"/>
          <w:szCs w:val="32"/>
          <w:highlight w:val="none"/>
        </w:rPr>
        <w:t>预算安排</w:t>
      </w:r>
      <w:r>
        <w:rPr>
          <w:rFonts w:hint="default" w:ascii="Times New Roman" w:hAnsi="Times New Roman" w:eastAsia="仿宋_GB2312" w:cs="Times New Roman"/>
          <w:bCs/>
          <w:sz w:val="32"/>
          <w:szCs w:val="32"/>
          <w:highlight w:val="none"/>
          <w:lang w:val="en-US" w:eastAsia="zh-CN"/>
        </w:rPr>
        <w:t>专项</w:t>
      </w:r>
      <w:r>
        <w:rPr>
          <w:rFonts w:hint="default" w:ascii="Times New Roman" w:hAnsi="Times New Roman" w:eastAsia="仿宋_GB2312" w:cs="Times New Roman"/>
          <w:bCs/>
          <w:sz w:val="32"/>
          <w:szCs w:val="32"/>
          <w:highlight w:val="none"/>
        </w:rPr>
        <w:t>资金</w:t>
      </w:r>
      <w:r>
        <w:rPr>
          <w:rFonts w:hint="default" w:ascii="Times New Roman" w:hAnsi="Times New Roman" w:eastAsia="仿宋_GB2312" w:cs="Times New Roman"/>
          <w:bCs/>
          <w:sz w:val="32"/>
          <w:szCs w:val="32"/>
          <w:highlight w:val="none"/>
          <w:lang w:val="en-US" w:eastAsia="zh-CN"/>
        </w:rPr>
        <w:t>共计3</w:t>
      </w:r>
      <w:r>
        <w:rPr>
          <w:rFonts w:hint="eastAsia" w:ascii="Times New Roman" w:hAnsi="Times New Roman" w:eastAsia="仿宋_GB2312" w:cs="Times New Roman"/>
          <w:bCs/>
          <w:sz w:val="32"/>
          <w:szCs w:val="32"/>
          <w:highlight w:val="none"/>
          <w:lang w:val="en-US" w:eastAsia="zh-CN"/>
        </w:rPr>
        <w:t>5</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44</w:t>
      </w:r>
      <w:r>
        <w:rPr>
          <w:rFonts w:hint="default" w:ascii="Times New Roman" w:hAnsi="Times New Roman" w:eastAsia="仿宋_GB2312" w:cs="Times New Roman"/>
          <w:bCs/>
          <w:sz w:val="32"/>
          <w:szCs w:val="32"/>
          <w:highlight w:val="none"/>
          <w:lang w:val="en-US" w:eastAsia="zh-CN"/>
        </w:rPr>
        <w:t>9.</w:t>
      </w:r>
      <w:r>
        <w:rPr>
          <w:rFonts w:hint="eastAsia" w:ascii="Times New Roman" w:hAnsi="Times New Roman" w:eastAsia="仿宋_GB2312" w:cs="Times New Roman"/>
          <w:bCs/>
          <w:sz w:val="32"/>
          <w:szCs w:val="32"/>
          <w:highlight w:val="none"/>
          <w:lang w:val="en-US" w:eastAsia="zh-CN"/>
        </w:rPr>
        <w:t>9</w:t>
      </w:r>
      <w:r>
        <w:rPr>
          <w:rFonts w:hint="default" w:ascii="Times New Roman" w:hAnsi="Times New Roman" w:eastAsia="仿宋_GB2312" w:cs="Times New Roman"/>
          <w:bCs/>
          <w:sz w:val="32"/>
          <w:szCs w:val="32"/>
          <w:highlight w:val="none"/>
          <w:lang w:val="en-US" w:eastAsia="zh-CN"/>
        </w:rPr>
        <w:t>2</w:t>
      </w:r>
      <w:r>
        <w:rPr>
          <w:rFonts w:hint="default" w:ascii="Times New Roman" w:hAnsi="Times New Roman" w:eastAsia="仿宋_GB2312" w:cs="Times New Roman"/>
          <w:bCs/>
          <w:sz w:val="32"/>
          <w:szCs w:val="32"/>
          <w:highlight w:val="none"/>
        </w:rPr>
        <w:t>元。项目主要为</w:t>
      </w:r>
      <w:r>
        <w:rPr>
          <w:rFonts w:hint="eastAsia"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1</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rPr>
        <w:t>珠算协会项目经费20万元</w:t>
      </w:r>
      <w:r>
        <w:rPr>
          <w:rFonts w:hint="eastAsia"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2</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人员类</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课时费及聘用人员工资项目2,432.96万元；（3）公用运转类-教学业务及专业建设项目10,086.59万元</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4</w:t>
      </w:r>
      <w:r>
        <w:rPr>
          <w:rFonts w:hint="default" w:ascii="Times New Roman" w:hAnsi="Times New Roman" w:eastAsia="仿宋_GB2312" w:cs="Times New Roman"/>
          <w:bCs/>
          <w:sz w:val="32"/>
          <w:szCs w:val="32"/>
          <w:highlight w:val="none"/>
          <w:lang w:val="en-US" w:eastAsia="zh-CN"/>
        </w:rPr>
        <w:t>）公用运转类</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后勤保障类项目5</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315.06万元</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5</w:t>
      </w:r>
      <w:r>
        <w:rPr>
          <w:rFonts w:hint="default" w:ascii="Times New Roman" w:hAnsi="Times New Roman" w:eastAsia="仿宋_GB2312" w:cs="Times New Roman"/>
          <w:bCs/>
          <w:sz w:val="32"/>
          <w:szCs w:val="32"/>
          <w:highlight w:val="none"/>
          <w:lang w:val="en-US" w:eastAsia="zh-CN"/>
        </w:rPr>
        <w:t>）助学金配套及伙食补助项目371.50万元</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6</w:t>
      </w:r>
      <w:r>
        <w:rPr>
          <w:rFonts w:hint="default" w:ascii="Times New Roman" w:hAnsi="Times New Roman" w:eastAsia="仿宋_GB2312" w:cs="Times New Roman"/>
          <w:bCs/>
          <w:sz w:val="32"/>
          <w:szCs w:val="32"/>
          <w:highlight w:val="none"/>
          <w:lang w:val="en-US" w:eastAsia="zh-CN"/>
        </w:rPr>
        <w:t>）科研业务经费2</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000万元</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7</w:t>
      </w:r>
      <w:r>
        <w:rPr>
          <w:rFonts w:hint="default" w:ascii="Times New Roman" w:hAnsi="Times New Roman" w:eastAsia="仿宋_GB2312" w:cs="Times New Roman"/>
          <w:bCs/>
          <w:sz w:val="32"/>
          <w:szCs w:val="32"/>
          <w:highlight w:val="none"/>
          <w:lang w:val="en-US" w:eastAsia="zh-CN"/>
        </w:rPr>
        <w:t>）基本建设及校园维修项目</w:t>
      </w:r>
      <w:r>
        <w:rPr>
          <w:rFonts w:hint="eastAsia" w:ascii="Times New Roman" w:hAnsi="Times New Roman" w:eastAsia="仿宋_GB2312" w:cs="Times New Roman"/>
          <w:bCs/>
          <w:sz w:val="32"/>
          <w:szCs w:val="32"/>
          <w:highlight w:val="none"/>
          <w:lang w:val="en-US" w:eastAsia="zh-CN"/>
        </w:rPr>
        <w:t>6,</w:t>
      </w:r>
      <w:r>
        <w:rPr>
          <w:rFonts w:hint="default" w:ascii="Times New Roman" w:hAnsi="Times New Roman" w:eastAsia="仿宋_GB2312" w:cs="Times New Roman"/>
          <w:bCs/>
          <w:sz w:val="32"/>
          <w:szCs w:val="32"/>
          <w:highlight w:val="none"/>
          <w:lang w:val="en-US" w:eastAsia="zh-CN"/>
        </w:rPr>
        <w:t>816.47万元</w:t>
      </w:r>
      <w:r>
        <w:rPr>
          <w:rFonts w:hint="eastAsia" w:ascii="Times New Roman" w:hAnsi="Times New Roman" w:eastAsia="仿宋_GB2312" w:cs="Times New Roman"/>
          <w:bCs/>
          <w:sz w:val="32"/>
          <w:szCs w:val="32"/>
          <w:highlight w:val="none"/>
          <w:lang w:val="en-US" w:eastAsia="zh-CN"/>
        </w:rPr>
        <w:t>；（8）</w:t>
      </w:r>
      <w:r>
        <w:rPr>
          <w:rFonts w:hint="default" w:ascii="Times New Roman" w:hAnsi="Times New Roman" w:eastAsia="仿宋_GB2312" w:cs="Times New Roman"/>
          <w:bCs/>
          <w:sz w:val="32"/>
          <w:szCs w:val="32"/>
          <w:highlight w:val="none"/>
          <w:lang w:val="en-US" w:eastAsia="zh-CN"/>
        </w:rPr>
        <w:t>2025年年初自治区本级幼儿园财政补助项目</w:t>
      </w:r>
      <w:r>
        <w:rPr>
          <w:rFonts w:hint="eastAsia" w:ascii="Times New Roman" w:hAnsi="Times New Roman" w:eastAsia="仿宋_GB2312" w:cs="Times New Roman"/>
          <w:bCs/>
          <w:sz w:val="32"/>
          <w:szCs w:val="32"/>
          <w:highlight w:val="none"/>
          <w:lang w:val="en-US" w:eastAsia="zh-CN"/>
        </w:rPr>
        <w:t>54万元；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9</w:t>
      </w:r>
      <w:r>
        <w:rPr>
          <w:rFonts w:hint="default" w:ascii="Times New Roman" w:hAnsi="Times New Roman" w:eastAsia="仿宋_GB2312" w:cs="Times New Roman"/>
          <w:bCs/>
          <w:sz w:val="32"/>
          <w:szCs w:val="32"/>
          <w:highlight w:val="none"/>
          <w:lang w:val="en-US" w:eastAsia="zh-CN"/>
        </w:rPr>
        <w:t>）2025年自聘教师工资补助</w:t>
      </w:r>
      <w:r>
        <w:rPr>
          <w:rFonts w:hint="eastAsia" w:ascii="Times New Roman" w:hAnsi="Times New Roman" w:eastAsia="仿宋_GB2312" w:cs="Times New Roman"/>
          <w:bCs/>
          <w:sz w:val="32"/>
          <w:szCs w:val="32"/>
          <w:highlight w:val="none"/>
          <w:lang w:val="en-US" w:eastAsia="zh-CN"/>
        </w:rPr>
        <w:t>35万元；（10）</w:t>
      </w:r>
      <w:r>
        <w:rPr>
          <w:rFonts w:hint="default" w:ascii="Times New Roman" w:hAnsi="Times New Roman" w:eastAsia="仿宋_GB2312" w:cs="Times New Roman"/>
          <w:bCs/>
          <w:sz w:val="32"/>
          <w:szCs w:val="32"/>
          <w:highlight w:val="none"/>
          <w:lang w:val="en-US" w:eastAsia="zh-CN"/>
        </w:rPr>
        <w:t>2025年本专科国家助学金自治区配套</w:t>
      </w:r>
      <w:r>
        <w:rPr>
          <w:rFonts w:hint="eastAsia" w:ascii="Times New Roman" w:hAnsi="Times New Roman" w:eastAsia="仿宋_GB2312" w:cs="Times New Roman"/>
          <w:bCs/>
          <w:sz w:val="32"/>
          <w:szCs w:val="32"/>
          <w:highlight w:val="none"/>
          <w:lang w:val="en-US" w:eastAsia="zh-CN"/>
        </w:rPr>
        <w:t>324.6万元；（11）</w:t>
      </w:r>
      <w:r>
        <w:rPr>
          <w:rFonts w:hint="default" w:ascii="Times New Roman" w:hAnsi="Times New Roman" w:eastAsia="仿宋_GB2312" w:cs="Times New Roman"/>
          <w:bCs/>
          <w:sz w:val="32"/>
          <w:szCs w:val="32"/>
          <w:highlight w:val="none"/>
          <w:lang w:val="en-US" w:eastAsia="zh-CN"/>
        </w:rPr>
        <w:t>2025年国家助学金自治区配套</w:t>
      </w:r>
      <w:r>
        <w:rPr>
          <w:rFonts w:hint="eastAsia" w:ascii="Times New Roman" w:hAnsi="Times New Roman" w:eastAsia="仿宋_GB2312" w:cs="Times New Roman"/>
          <w:bCs/>
          <w:sz w:val="32"/>
          <w:szCs w:val="32"/>
          <w:highlight w:val="none"/>
          <w:lang w:val="en-US" w:eastAsia="zh-CN"/>
        </w:rPr>
        <w:t>111.6</w:t>
      </w:r>
      <w:r>
        <w:rPr>
          <w:rFonts w:hint="default" w:ascii="Times New Roman" w:hAnsi="Times New Roman" w:eastAsia="仿宋_GB2312" w:cs="Times New Roman"/>
          <w:bCs/>
          <w:sz w:val="32"/>
          <w:szCs w:val="32"/>
          <w:highlight w:val="none"/>
          <w:lang w:val="en-US" w:eastAsia="zh-CN"/>
        </w:rPr>
        <w:t>万元</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12</w:t>
      </w:r>
      <w:r>
        <w:rPr>
          <w:rFonts w:hint="default" w:ascii="Times New Roman" w:hAnsi="Times New Roman" w:eastAsia="仿宋_GB2312" w:cs="Times New Roman"/>
          <w:bCs/>
          <w:sz w:val="32"/>
          <w:szCs w:val="32"/>
          <w:highlight w:val="none"/>
          <w:lang w:val="en-US" w:eastAsia="zh-CN"/>
        </w:rPr>
        <w:t>）2025年促进教育事业发展专项</w:t>
      </w:r>
      <w:r>
        <w:rPr>
          <w:rFonts w:hint="eastAsia" w:ascii="Times New Roman" w:hAnsi="Times New Roman" w:eastAsia="仿宋_GB2312" w:cs="Times New Roman"/>
          <w:bCs/>
          <w:sz w:val="32"/>
          <w:szCs w:val="32"/>
          <w:highlight w:val="none"/>
          <w:lang w:val="en-US" w:eastAsia="zh-CN"/>
        </w:rPr>
        <w:t>4万元；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13</w:t>
      </w:r>
      <w:r>
        <w:rPr>
          <w:rFonts w:hint="default" w:ascii="Times New Roman" w:hAnsi="Times New Roman" w:eastAsia="仿宋_GB2312" w:cs="Times New Roman"/>
          <w:bCs/>
          <w:sz w:val="32"/>
          <w:szCs w:val="32"/>
          <w:highlight w:val="none"/>
          <w:lang w:val="en-US" w:eastAsia="zh-CN"/>
        </w:rPr>
        <w:t>） 2025年高校大学生医疗补助资金</w:t>
      </w:r>
      <w:r>
        <w:rPr>
          <w:rFonts w:hint="eastAsia" w:ascii="Times New Roman" w:hAnsi="Times New Roman" w:eastAsia="仿宋_GB2312" w:cs="Times New Roman"/>
          <w:bCs/>
          <w:sz w:val="32"/>
          <w:szCs w:val="32"/>
          <w:highlight w:val="none"/>
          <w:lang w:val="en-US" w:eastAsia="zh-CN"/>
        </w:rPr>
        <w:t>104万元；</w:t>
      </w:r>
      <w:r>
        <w:rPr>
          <w:rFonts w:hint="default" w:ascii="Times New Roman" w:hAnsi="Times New Roman" w:eastAsia="仿宋_GB2312" w:cs="Times New Roman"/>
          <w:bCs/>
          <w:sz w:val="32"/>
          <w:szCs w:val="32"/>
          <w:highlight w:val="none"/>
          <w:lang w:val="en-US" w:eastAsia="zh-CN"/>
        </w:rPr>
        <w:t>（1</w:t>
      </w:r>
      <w:r>
        <w:rPr>
          <w:rFonts w:hint="eastAsia" w:ascii="Times New Roman" w:hAnsi="Times New Roman" w:eastAsia="仿宋_GB2312" w:cs="Times New Roman"/>
          <w:bCs/>
          <w:sz w:val="32"/>
          <w:szCs w:val="32"/>
          <w:highlight w:val="none"/>
          <w:lang w:val="en-US" w:eastAsia="zh-CN"/>
        </w:rPr>
        <w:t>4</w:t>
      </w:r>
      <w:r>
        <w:rPr>
          <w:rFonts w:hint="default" w:ascii="Times New Roman" w:hAnsi="Times New Roman" w:eastAsia="仿宋_GB2312" w:cs="Times New Roman"/>
          <w:bCs/>
          <w:sz w:val="32"/>
          <w:szCs w:val="32"/>
          <w:highlight w:val="none"/>
          <w:lang w:val="en-US" w:eastAsia="zh-CN"/>
        </w:rPr>
        <w:t>）2025年高校学生伙食补助资金</w:t>
      </w:r>
      <w:r>
        <w:rPr>
          <w:rFonts w:hint="eastAsia" w:ascii="Times New Roman" w:hAnsi="Times New Roman" w:eastAsia="仿宋_GB2312" w:cs="Times New Roman"/>
          <w:bCs/>
          <w:sz w:val="32"/>
          <w:szCs w:val="32"/>
          <w:highlight w:val="none"/>
          <w:lang w:val="en-US" w:eastAsia="zh-CN"/>
        </w:rPr>
        <w:t>346.94万元；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15</w:t>
      </w:r>
      <w:r>
        <w:rPr>
          <w:rFonts w:hint="default" w:ascii="Times New Roman" w:hAnsi="Times New Roman" w:eastAsia="仿宋_GB2312" w:cs="Times New Roman"/>
          <w:bCs/>
          <w:sz w:val="32"/>
          <w:szCs w:val="32"/>
          <w:highlight w:val="none"/>
          <w:lang w:val="en-US" w:eastAsia="zh-CN"/>
        </w:rPr>
        <w:t>）2025年汉语国际推广中亚基地建设项目</w:t>
      </w:r>
      <w:r>
        <w:rPr>
          <w:rFonts w:hint="eastAsia" w:ascii="Times New Roman" w:hAnsi="Times New Roman" w:eastAsia="仿宋_GB2312" w:cs="Times New Roman"/>
          <w:bCs/>
          <w:sz w:val="32"/>
          <w:szCs w:val="32"/>
          <w:highlight w:val="none"/>
          <w:lang w:val="en-US" w:eastAsia="zh-CN"/>
        </w:rPr>
        <w:t>18.15万元；</w:t>
      </w:r>
      <w:r>
        <w:rPr>
          <w:rFonts w:hint="default" w:ascii="Times New Roman" w:hAnsi="Times New Roman" w:eastAsia="仿宋_GB2312" w:cs="Times New Roman"/>
          <w:bCs/>
          <w:sz w:val="32"/>
          <w:szCs w:val="32"/>
          <w:highlight w:val="none"/>
          <w:lang w:val="en-US" w:eastAsia="zh-CN"/>
        </w:rPr>
        <w:t>（1</w:t>
      </w:r>
      <w:r>
        <w:rPr>
          <w:rFonts w:hint="eastAsia" w:ascii="Times New Roman" w:hAnsi="Times New Roman" w:eastAsia="仿宋_GB2312" w:cs="Times New Roman"/>
          <w:bCs/>
          <w:sz w:val="32"/>
          <w:szCs w:val="32"/>
          <w:highlight w:val="none"/>
          <w:lang w:val="en-US" w:eastAsia="zh-CN"/>
        </w:rPr>
        <w:t>6</w:t>
      </w:r>
      <w:r>
        <w:rPr>
          <w:rFonts w:hint="default" w:ascii="Times New Roman" w:hAnsi="Times New Roman" w:eastAsia="仿宋_GB2312" w:cs="Times New Roman"/>
          <w:bCs/>
          <w:sz w:val="32"/>
          <w:szCs w:val="32"/>
          <w:highlight w:val="none"/>
          <w:lang w:val="en-US" w:eastAsia="zh-CN"/>
        </w:rPr>
        <w:t>）2025年教育教学改革</w:t>
      </w:r>
      <w:r>
        <w:rPr>
          <w:rFonts w:hint="eastAsia" w:ascii="Times New Roman" w:hAnsi="Times New Roman" w:eastAsia="仿宋_GB2312" w:cs="Times New Roman"/>
          <w:bCs/>
          <w:sz w:val="32"/>
          <w:szCs w:val="32"/>
          <w:highlight w:val="none"/>
          <w:lang w:val="en-US" w:eastAsia="zh-CN"/>
        </w:rPr>
        <w:t>119万元；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17</w:t>
      </w:r>
      <w:r>
        <w:rPr>
          <w:rFonts w:hint="default" w:ascii="Times New Roman" w:hAnsi="Times New Roman" w:eastAsia="仿宋_GB2312" w:cs="Times New Roman"/>
          <w:bCs/>
          <w:sz w:val="32"/>
          <w:szCs w:val="32"/>
          <w:highlight w:val="none"/>
          <w:lang w:val="en-US" w:eastAsia="zh-CN"/>
        </w:rPr>
        <w:t>）2025年民汉双语翻译人才培养计划</w:t>
      </w:r>
      <w:r>
        <w:rPr>
          <w:rFonts w:hint="eastAsia" w:ascii="Times New Roman" w:hAnsi="Times New Roman" w:eastAsia="仿宋_GB2312" w:cs="Times New Roman"/>
          <w:bCs/>
          <w:sz w:val="32"/>
          <w:szCs w:val="32"/>
          <w:highlight w:val="none"/>
          <w:lang w:val="en-US" w:eastAsia="zh-CN"/>
        </w:rPr>
        <w:t>87.2万元；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18</w:t>
      </w:r>
      <w:r>
        <w:rPr>
          <w:rFonts w:hint="default" w:ascii="Times New Roman" w:hAnsi="Times New Roman" w:eastAsia="仿宋_GB2312" w:cs="Times New Roman"/>
          <w:bCs/>
          <w:sz w:val="32"/>
          <w:szCs w:val="32"/>
          <w:highlight w:val="none"/>
          <w:lang w:val="en-US" w:eastAsia="zh-CN"/>
        </w:rPr>
        <w:t>） 2025年自治区高校班主任、辅导员补贴经费</w:t>
      </w:r>
      <w:r>
        <w:rPr>
          <w:rFonts w:hint="eastAsia" w:ascii="Times New Roman" w:hAnsi="Times New Roman" w:eastAsia="仿宋_GB2312" w:cs="Times New Roman"/>
          <w:bCs/>
          <w:sz w:val="32"/>
          <w:szCs w:val="32"/>
          <w:highlight w:val="none"/>
          <w:lang w:val="en-US" w:eastAsia="zh-CN"/>
        </w:rPr>
        <w:t>114.7万元；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19</w:t>
      </w:r>
      <w:r>
        <w:rPr>
          <w:rFonts w:hint="default" w:ascii="Times New Roman" w:hAnsi="Times New Roman" w:eastAsia="仿宋_GB2312" w:cs="Times New Roman"/>
          <w:bCs/>
          <w:sz w:val="32"/>
          <w:szCs w:val="32"/>
          <w:highlight w:val="none"/>
          <w:lang w:val="en-US" w:eastAsia="zh-CN"/>
        </w:rPr>
        <w:t>）2025年自治区人民政府高校励志奖学金、助学金</w:t>
      </w:r>
      <w:r>
        <w:rPr>
          <w:rFonts w:hint="eastAsia" w:ascii="Times New Roman" w:hAnsi="Times New Roman" w:eastAsia="仿宋_GB2312" w:cs="Times New Roman"/>
          <w:bCs/>
          <w:sz w:val="32"/>
          <w:szCs w:val="32"/>
          <w:highlight w:val="none"/>
          <w:lang w:val="en-US" w:eastAsia="zh-CN"/>
        </w:rPr>
        <w:t>447.58万元；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20</w:t>
      </w:r>
      <w:r>
        <w:rPr>
          <w:rFonts w:hint="default" w:ascii="Times New Roman" w:hAnsi="Times New Roman" w:eastAsia="仿宋_GB2312" w:cs="Times New Roman"/>
          <w:bCs/>
          <w:sz w:val="32"/>
          <w:szCs w:val="32"/>
          <w:highlight w:val="none"/>
          <w:lang w:val="en-US" w:eastAsia="zh-CN"/>
        </w:rPr>
        <w:t>）2025年自治区人民政府接受周边国家留学生奖学金及公派出国留学项目</w:t>
      </w:r>
      <w:r>
        <w:rPr>
          <w:rFonts w:hint="eastAsia" w:ascii="Times New Roman" w:hAnsi="Times New Roman" w:eastAsia="仿宋_GB2312" w:cs="Times New Roman"/>
          <w:bCs/>
          <w:sz w:val="32"/>
          <w:szCs w:val="32"/>
          <w:highlight w:val="none"/>
          <w:lang w:val="en-US" w:eastAsia="zh-CN"/>
        </w:rPr>
        <w:t>85.2万元；</w:t>
      </w:r>
      <w:r>
        <w:rPr>
          <w:rFonts w:hint="default" w:ascii="Times New Roman" w:hAnsi="Times New Roman" w:eastAsia="仿宋_GB2312" w:cs="Times New Roman"/>
          <w:bCs/>
          <w:sz w:val="32"/>
          <w:szCs w:val="32"/>
          <w:highlight w:val="none"/>
          <w:lang w:val="en-US" w:eastAsia="zh-CN"/>
        </w:rPr>
        <w:t>（2</w:t>
      </w:r>
      <w:r>
        <w:rPr>
          <w:rFonts w:hint="eastAsia" w:ascii="Times New Roman" w:hAnsi="Times New Roman" w:eastAsia="仿宋_GB2312" w:cs="Times New Roman"/>
          <w:bCs/>
          <w:sz w:val="32"/>
          <w:szCs w:val="32"/>
          <w:highlight w:val="none"/>
          <w:lang w:val="en-US" w:eastAsia="zh-CN"/>
        </w:rPr>
        <w:t>1</w:t>
      </w:r>
      <w:r>
        <w:rPr>
          <w:rFonts w:hint="default" w:ascii="Times New Roman" w:hAnsi="Times New Roman" w:eastAsia="仿宋_GB2312" w:cs="Times New Roman"/>
          <w:bCs/>
          <w:sz w:val="32"/>
          <w:szCs w:val="32"/>
          <w:highlight w:val="none"/>
          <w:lang w:val="en-US" w:eastAsia="zh-CN"/>
        </w:rPr>
        <w:t>） 2025年自治区研究生奖学金</w:t>
      </w:r>
      <w:r>
        <w:rPr>
          <w:rFonts w:hint="eastAsia" w:ascii="Times New Roman" w:hAnsi="Times New Roman" w:eastAsia="仿宋_GB2312" w:cs="Times New Roman"/>
          <w:bCs/>
          <w:sz w:val="32"/>
          <w:szCs w:val="32"/>
          <w:highlight w:val="none"/>
          <w:lang w:val="en-US" w:eastAsia="zh-CN"/>
        </w:rPr>
        <w:t>及学业奖学金583.65万元；</w:t>
      </w:r>
      <w:r>
        <w:rPr>
          <w:rFonts w:hint="default" w:ascii="Times New Roman" w:hAnsi="Times New Roman" w:eastAsia="仿宋_GB2312" w:cs="Times New Roman"/>
          <w:bCs/>
          <w:sz w:val="32"/>
          <w:szCs w:val="32"/>
          <w:highlight w:val="none"/>
          <w:lang w:val="en-US" w:eastAsia="zh-CN"/>
        </w:rPr>
        <w:t>（2</w:t>
      </w:r>
      <w:r>
        <w:rPr>
          <w:rFonts w:hint="eastAsia" w:ascii="Times New Roman" w:hAnsi="Times New Roman" w:eastAsia="仿宋_GB2312" w:cs="Times New Roman"/>
          <w:bCs/>
          <w:sz w:val="32"/>
          <w:szCs w:val="32"/>
          <w:highlight w:val="none"/>
          <w:lang w:val="en-US" w:eastAsia="zh-CN"/>
        </w:rPr>
        <w:t>2</w:t>
      </w:r>
      <w:r>
        <w:rPr>
          <w:rFonts w:hint="default" w:ascii="Times New Roman" w:hAnsi="Times New Roman" w:eastAsia="仿宋_GB2312" w:cs="Times New Roman"/>
          <w:bCs/>
          <w:sz w:val="32"/>
          <w:szCs w:val="32"/>
          <w:highlight w:val="none"/>
          <w:lang w:val="en-US" w:eastAsia="zh-CN"/>
        </w:rPr>
        <w:t>） 2025年自治区高校基本科研业务费</w:t>
      </w:r>
      <w:r>
        <w:rPr>
          <w:rFonts w:hint="eastAsia" w:ascii="Times New Roman" w:hAnsi="Times New Roman" w:eastAsia="仿宋_GB2312" w:cs="Times New Roman"/>
          <w:bCs/>
          <w:sz w:val="32"/>
          <w:szCs w:val="32"/>
          <w:highlight w:val="none"/>
          <w:lang w:val="en-US" w:eastAsia="zh-CN"/>
        </w:rPr>
        <w:t>40万元；</w:t>
      </w:r>
      <w:r>
        <w:rPr>
          <w:rFonts w:hint="default" w:ascii="Times New Roman" w:hAnsi="Times New Roman" w:eastAsia="仿宋_GB2312" w:cs="Times New Roman"/>
          <w:bCs/>
          <w:sz w:val="32"/>
          <w:szCs w:val="32"/>
          <w:highlight w:val="none"/>
          <w:lang w:val="en-US" w:eastAsia="zh-CN"/>
        </w:rPr>
        <w:t>（2</w:t>
      </w:r>
      <w:r>
        <w:rPr>
          <w:rFonts w:hint="eastAsia" w:ascii="Times New Roman" w:hAnsi="Times New Roman" w:eastAsia="仿宋_GB2312" w:cs="Times New Roman"/>
          <w:bCs/>
          <w:sz w:val="32"/>
          <w:szCs w:val="32"/>
          <w:highlight w:val="none"/>
          <w:lang w:val="en-US" w:eastAsia="zh-CN"/>
        </w:rPr>
        <w:t>3</w:t>
      </w:r>
      <w:r>
        <w:rPr>
          <w:rFonts w:hint="default" w:ascii="Times New Roman" w:hAnsi="Times New Roman" w:eastAsia="仿宋_GB2312" w:cs="Times New Roman"/>
          <w:bCs/>
          <w:sz w:val="32"/>
          <w:szCs w:val="32"/>
          <w:highlight w:val="none"/>
          <w:lang w:val="en-US" w:eastAsia="zh-CN"/>
        </w:rPr>
        <w:t>）提前下达2025年中央支持学前教育发展资金</w:t>
      </w:r>
      <w:r>
        <w:rPr>
          <w:rFonts w:hint="eastAsia" w:ascii="Times New Roman" w:hAnsi="Times New Roman" w:eastAsia="仿宋_GB2312" w:cs="Times New Roman"/>
          <w:bCs/>
          <w:sz w:val="32"/>
          <w:szCs w:val="32"/>
          <w:highlight w:val="none"/>
          <w:lang w:val="en-US" w:eastAsia="zh-CN"/>
        </w:rPr>
        <w:t>60万元；（24） 提前下达2025年学生资助补助经费（中央直达资金）2,699.37万元；（25）提前下达2025年中央支持地方高校改革发展资金项目3,059.10万元；（26）2025年医疗与服务保障能力提升（中医药事业传承与发展部分）补助资金20万元；（27）提前下达2025年中央专项彩票公益金支持大学生创新创业教育项目49.5万元；</w:t>
      </w:r>
      <w:r>
        <w:rPr>
          <w:rFonts w:hint="default" w:ascii="Times New Roman" w:hAnsi="Times New Roman" w:eastAsia="仿宋_GB2312" w:cs="Times New Roman"/>
          <w:bCs/>
          <w:sz w:val="32"/>
          <w:szCs w:val="32"/>
          <w:highlight w:val="none"/>
          <w:lang w:val="en-US" w:eastAsia="zh-CN"/>
        </w:rPr>
        <w:t>（</w:t>
      </w:r>
      <w:r>
        <w:rPr>
          <w:rFonts w:hint="eastAsia" w:ascii="Times New Roman" w:hAnsi="Times New Roman" w:eastAsia="仿宋_GB2312" w:cs="Times New Roman"/>
          <w:bCs/>
          <w:sz w:val="32"/>
          <w:szCs w:val="32"/>
          <w:highlight w:val="none"/>
          <w:lang w:val="en-US" w:eastAsia="zh-CN"/>
        </w:rPr>
        <w:t>28</w:t>
      </w:r>
      <w:r>
        <w:rPr>
          <w:rFonts w:hint="default" w:ascii="Times New Roman" w:hAnsi="Times New Roman" w:eastAsia="仿宋_GB2312" w:cs="Times New Roman"/>
          <w:bCs/>
          <w:sz w:val="32"/>
          <w:szCs w:val="32"/>
          <w:highlight w:val="none"/>
          <w:lang w:val="en-US" w:eastAsia="zh-CN"/>
        </w:rPr>
        <w:t>）2024年图书馆图书购置项目7.41万元；（</w:t>
      </w:r>
      <w:r>
        <w:rPr>
          <w:rFonts w:hint="eastAsia" w:ascii="Times New Roman" w:hAnsi="Times New Roman" w:eastAsia="仿宋_GB2312" w:cs="Times New Roman"/>
          <w:bCs/>
          <w:sz w:val="32"/>
          <w:szCs w:val="32"/>
          <w:highlight w:val="none"/>
          <w:lang w:val="en-US" w:eastAsia="zh-CN"/>
        </w:rPr>
        <w:t>29</w:t>
      </w:r>
      <w:r>
        <w:rPr>
          <w:rFonts w:hint="default" w:ascii="Times New Roman" w:hAnsi="Times New Roman" w:eastAsia="仿宋_GB2312" w:cs="Times New Roman"/>
          <w:bCs/>
          <w:sz w:val="32"/>
          <w:szCs w:val="32"/>
          <w:highlight w:val="none"/>
          <w:lang w:val="en-US" w:eastAsia="zh-CN"/>
        </w:rPr>
        <w:t>）2024年新疆人才发展基金第一轮支持资金3.90万元；（</w:t>
      </w:r>
      <w:r>
        <w:rPr>
          <w:rFonts w:hint="eastAsia" w:ascii="Times New Roman" w:hAnsi="Times New Roman" w:eastAsia="仿宋_GB2312" w:cs="Times New Roman"/>
          <w:bCs/>
          <w:sz w:val="32"/>
          <w:szCs w:val="32"/>
          <w:highlight w:val="none"/>
          <w:lang w:val="en-US" w:eastAsia="zh-CN"/>
        </w:rPr>
        <w:t>30</w:t>
      </w:r>
      <w:r>
        <w:rPr>
          <w:rFonts w:hint="default" w:ascii="Times New Roman" w:hAnsi="Times New Roman" w:eastAsia="仿宋_GB2312" w:cs="Times New Roman"/>
          <w:bCs/>
          <w:sz w:val="32"/>
          <w:szCs w:val="32"/>
          <w:highlight w:val="none"/>
          <w:lang w:val="en-US" w:eastAsia="zh-CN"/>
        </w:rPr>
        <w:t>）2024年新时代党的治疆方略理论与实践研究课题经费32.43万元</w:t>
      </w:r>
      <w:r>
        <w:rPr>
          <w:rFonts w:hint="eastAsia" w:ascii="Times New Roman" w:hAnsi="Times New Roman" w:eastAsia="仿宋_GB2312" w:cs="Times New Roman"/>
          <w:bCs/>
          <w:sz w:val="32"/>
          <w:szCs w:val="32"/>
          <w:highlight w:val="none"/>
          <w:lang w:val="en-US" w:eastAsia="zh-CN"/>
        </w:rPr>
        <w:t>。</w:t>
      </w:r>
    </w:p>
    <w:p w14:paraId="6FA8E689">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highlight w:val="yellow"/>
        </w:rPr>
      </w:pPr>
      <w:bookmarkStart w:id="28" w:name="_Toc23461"/>
      <w:bookmarkStart w:id="29" w:name="_Toc31408"/>
      <w:bookmarkStart w:id="30" w:name="_Toc14039"/>
      <w:r>
        <w:rPr>
          <w:rFonts w:hint="default" w:ascii="Times New Roman" w:hAnsi="Times New Roman" w:cs="Times New Roman"/>
          <w:highlight w:val="none"/>
        </w:rPr>
        <w:t>2.专项资金实际使用情况分析</w:t>
      </w:r>
      <w:bookmarkEnd w:id="28"/>
      <w:bookmarkEnd w:id="29"/>
      <w:bookmarkEnd w:id="30"/>
    </w:p>
    <w:p w14:paraId="685858CA">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bCs/>
          <w:kern w:val="2"/>
          <w:sz w:val="32"/>
          <w:szCs w:val="32"/>
          <w:lang w:bidi="ar-SA"/>
        </w:rPr>
      </w:pPr>
      <w:r>
        <w:rPr>
          <w:rFonts w:hint="default" w:ascii="Times New Roman" w:hAnsi="Times New Roman" w:eastAsia="仿宋_GB2312" w:cs="Times New Roman"/>
          <w:bCs/>
          <w:sz w:val="32"/>
          <w:szCs w:val="32"/>
          <w:highlight w:val="none"/>
        </w:rPr>
        <w:t>202</w:t>
      </w:r>
      <w:r>
        <w:rPr>
          <w:rFonts w:hint="default" w:ascii="Times New Roman" w:hAnsi="Times New Roman" w:eastAsia="仿宋_GB2312" w:cs="Times New Roman"/>
          <w:bCs/>
          <w:sz w:val="32"/>
          <w:szCs w:val="32"/>
          <w:highlight w:val="none"/>
          <w:lang w:val="en-US" w:eastAsia="zh-CN"/>
        </w:rPr>
        <w:t>5</w:t>
      </w:r>
      <w:r>
        <w:rPr>
          <w:rFonts w:hint="default" w:ascii="Times New Roman" w:hAnsi="Times New Roman" w:eastAsia="仿宋_GB2312" w:cs="Times New Roman"/>
          <w:bCs/>
          <w:sz w:val="32"/>
          <w:szCs w:val="32"/>
          <w:highlight w:val="none"/>
        </w:rPr>
        <w:t>年专项资金实际使用</w:t>
      </w:r>
      <w:r>
        <w:rPr>
          <w:rFonts w:hint="default" w:ascii="Times New Roman" w:hAnsi="Times New Roman" w:eastAsia="仿宋_GB2312" w:cs="Times New Roman"/>
          <w:bCs/>
          <w:sz w:val="32"/>
          <w:szCs w:val="32"/>
          <w:highlight w:val="none"/>
          <w:lang w:val="en-US" w:eastAsia="zh-CN"/>
        </w:rPr>
        <w:t>20,910.59</w:t>
      </w:r>
      <w:r>
        <w:rPr>
          <w:rFonts w:hint="default" w:ascii="Times New Roman" w:hAnsi="Times New Roman" w:eastAsia="仿宋_GB2312" w:cs="Times New Roman"/>
          <w:bCs/>
          <w:sz w:val="32"/>
          <w:szCs w:val="32"/>
          <w:highlight w:val="none"/>
        </w:rPr>
        <w:t>万元</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执行率58.99%</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sz w:val="32"/>
          <w:szCs w:val="32"/>
          <w:highlight w:val="none"/>
          <w:lang w:val="en-US" w:eastAsia="zh-CN"/>
        </w:rPr>
        <w:t>未完成支出项目包括</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1</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人员类</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课时费及聘用人员工资项目2,367.64万元，执行率97.32%；（2）公用运转类-教学业务及专业建设项目4,326.51万元，执行率42.89%</w:t>
      </w:r>
      <w:r>
        <w:rPr>
          <w:rFonts w:hint="default" w:ascii="Times New Roman" w:hAnsi="Times New Roman" w:eastAsia="仿宋_GB2312" w:cs="Times New Roman"/>
          <w:bCs/>
          <w:kern w:val="2"/>
          <w:sz w:val="32"/>
          <w:szCs w:val="32"/>
          <w:lang w:bidi="ar-SA"/>
        </w:rPr>
        <w:t>；</w:t>
      </w:r>
      <w:r>
        <w:rPr>
          <w:rFonts w:hint="default" w:ascii="Times New Roman" w:hAnsi="Times New Roman" w:eastAsia="仿宋_GB2312" w:cs="Times New Roman"/>
          <w:bCs/>
          <w:sz w:val="32"/>
          <w:szCs w:val="32"/>
          <w:highlight w:val="none"/>
          <w:lang w:val="en-US" w:eastAsia="zh-CN"/>
        </w:rPr>
        <w:t>（3）公用运转类</w:t>
      </w:r>
      <w:r>
        <w:rPr>
          <w:rFonts w:hint="eastAsia"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val="en-US" w:eastAsia="zh-CN"/>
        </w:rPr>
        <w:t>后勤保障类项目3,020.03万元，执行率56.82%</w:t>
      </w:r>
      <w:r>
        <w:rPr>
          <w:rFonts w:hint="default" w:ascii="Times New Roman" w:hAnsi="Times New Roman" w:eastAsia="仿宋_GB2312" w:cs="Times New Roman"/>
          <w:bCs/>
          <w:kern w:val="2"/>
          <w:sz w:val="32"/>
          <w:szCs w:val="32"/>
          <w:lang w:bidi="ar-SA"/>
        </w:rPr>
        <w:t>；</w:t>
      </w:r>
      <w:r>
        <w:rPr>
          <w:rFonts w:hint="default" w:ascii="Times New Roman" w:hAnsi="Times New Roman" w:eastAsia="仿宋_GB2312" w:cs="Times New Roman"/>
          <w:bCs/>
          <w:sz w:val="32"/>
          <w:szCs w:val="32"/>
          <w:highlight w:val="none"/>
          <w:lang w:val="en-US" w:eastAsia="zh-CN"/>
        </w:rPr>
        <w:t>（4）助学金配套及伙食补助项目319.12万元，执行率85.90%</w:t>
      </w:r>
      <w:r>
        <w:rPr>
          <w:rFonts w:hint="default" w:ascii="Times New Roman" w:hAnsi="Times New Roman" w:eastAsia="仿宋_GB2312" w:cs="Times New Roman"/>
          <w:bCs/>
          <w:kern w:val="2"/>
          <w:sz w:val="32"/>
          <w:szCs w:val="32"/>
          <w:lang w:bidi="ar-SA"/>
        </w:rPr>
        <w:t>；</w:t>
      </w:r>
      <w:r>
        <w:rPr>
          <w:rFonts w:hint="default" w:ascii="Times New Roman" w:hAnsi="Times New Roman" w:eastAsia="仿宋_GB2312" w:cs="Times New Roman"/>
          <w:bCs/>
          <w:sz w:val="32"/>
          <w:szCs w:val="32"/>
          <w:highlight w:val="none"/>
          <w:lang w:val="en-US" w:eastAsia="zh-CN"/>
        </w:rPr>
        <w:t>（5）基本建设及校园维修项目449.96万元，执行率6.6%</w:t>
      </w:r>
      <w:r>
        <w:rPr>
          <w:rFonts w:hint="default" w:ascii="Times New Roman" w:hAnsi="Times New Roman" w:eastAsia="仿宋_GB2312" w:cs="Times New Roman"/>
          <w:bCs/>
          <w:kern w:val="2"/>
          <w:sz w:val="32"/>
          <w:szCs w:val="32"/>
          <w:lang w:bidi="ar-SA"/>
        </w:rPr>
        <w:t>。</w:t>
      </w:r>
    </w:p>
    <w:p w14:paraId="2C67B060">
      <w:pPr>
        <w:pStyle w:val="7"/>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楷体_GB2312" w:hAnsi="楷体_GB2312" w:eastAsia="楷体_GB2312" w:cs="楷体_GB2312"/>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（五）整体支出使用情况</w:t>
      </w:r>
    </w:p>
    <w:p w14:paraId="5576C9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bidi="ar-SA"/>
        </w:rPr>
        <w:t>确保教职工人员及机构运转顺畅。在教育教学改革与人才供给优化方面，我们按时全额发放了128</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bidi="ar-SA"/>
        </w:rPr>
        <w:t>名教职工的全年绩效工资，持续增加对专业建设、学科建设和教学建设等人员相关支出的投入，以保障教学工作的有序和高效运行。</w:t>
      </w:r>
    </w:p>
    <w:p w14:paraId="70AD2A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学科实力持续增强</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引进</w:t>
      </w:r>
      <w:r>
        <w:rPr>
          <w:rFonts w:hint="eastAsia" w:ascii="Times New Roman" w:hAnsi="Times New Roman" w:eastAsia="仿宋_GB2312" w:cs="Times New Roman"/>
          <w:kern w:val="2"/>
          <w:sz w:val="32"/>
          <w:szCs w:val="32"/>
          <w:lang w:val="en-US" w:eastAsia="zh-CN" w:bidi="ar-SA"/>
        </w:rPr>
        <w:t>学术骨干1名，</w:t>
      </w:r>
      <w:r>
        <w:rPr>
          <w:rFonts w:hint="default" w:ascii="Times New Roman" w:hAnsi="Times New Roman" w:eastAsia="仿宋_GB2312" w:cs="Times New Roman"/>
          <w:kern w:val="2"/>
          <w:sz w:val="32"/>
          <w:szCs w:val="32"/>
          <w:lang w:val="en-US" w:eastAsia="zh-CN" w:bidi="ar-SA"/>
        </w:rPr>
        <w:t>青年优秀人才</w:t>
      </w:r>
      <w:r>
        <w:rPr>
          <w:rFonts w:hint="eastAsia" w:ascii="Times New Roman" w:hAnsi="Times New Roman" w:eastAsia="仿宋_GB2312" w:cs="Times New Roman"/>
          <w:kern w:val="2"/>
          <w:sz w:val="32"/>
          <w:szCs w:val="32"/>
          <w:lang w:val="en-US" w:eastAsia="zh-CN" w:bidi="ar-SA"/>
        </w:rPr>
        <w:t>24名。</w:t>
      </w:r>
      <w:r>
        <w:rPr>
          <w:rFonts w:hint="default" w:ascii="Times New Roman" w:hAnsi="Times New Roman" w:eastAsia="仿宋_GB2312" w:cs="Times New Roman"/>
          <w:color w:val="auto"/>
          <w:kern w:val="2"/>
          <w:sz w:val="32"/>
          <w:szCs w:val="32"/>
          <w:lang w:val="en-US" w:eastAsia="zh-CN" w:bidi="ar-SA"/>
        </w:rPr>
        <w:t>应用经济学、工商管理学、统计学3个一级学科入选自治区重点学科并顺利通过验收，学科高原初步形成；其中应用经济学与工商管理学连续多年进入软科“中国最好学科排名”前30%，学科影响力持续扩大。研究生教育提质增效，建成</w:t>
      </w:r>
      <w:r>
        <w:rPr>
          <w:rFonts w:hint="eastAsia" w:ascii="Times New Roman" w:hAnsi="Times New Roman" w:eastAsia="仿宋_GB2312" w:cs="Times New Roman"/>
          <w:color w:val="auto"/>
          <w:kern w:val="2"/>
          <w:sz w:val="32"/>
          <w:szCs w:val="32"/>
          <w:lang w:val="en-US" w:eastAsia="zh-CN" w:bidi="ar-SA"/>
        </w:rPr>
        <w:t>自治区</w:t>
      </w:r>
      <w:r>
        <w:rPr>
          <w:rFonts w:hint="default" w:ascii="Times New Roman" w:hAnsi="Times New Roman" w:eastAsia="仿宋_GB2312" w:cs="Times New Roman"/>
          <w:color w:val="auto"/>
          <w:kern w:val="2"/>
          <w:sz w:val="32"/>
          <w:szCs w:val="32"/>
          <w:lang w:val="en-US" w:eastAsia="zh-CN" w:bidi="ar-SA"/>
        </w:rPr>
        <w:t>精品课程1</w:t>
      </w:r>
      <w:r>
        <w:rPr>
          <w:rFonts w:hint="eastAsia" w:ascii="Times New Roman" w:hAnsi="Times New Roman" w:eastAsia="仿宋_GB2312"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门、</w:t>
      </w:r>
      <w:r>
        <w:rPr>
          <w:rFonts w:hint="eastAsia" w:ascii="Times New Roman" w:hAnsi="Times New Roman" w:eastAsia="仿宋_GB2312" w:cs="Times New Roman"/>
          <w:color w:val="auto"/>
          <w:kern w:val="2"/>
          <w:sz w:val="32"/>
          <w:szCs w:val="32"/>
          <w:lang w:val="en-US" w:eastAsia="zh-CN" w:bidi="ar-SA"/>
        </w:rPr>
        <w:t>专业学位</w:t>
      </w:r>
      <w:r>
        <w:rPr>
          <w:rFonts w:hint="default" w:ascii="Times New Roman" w:hAnsi="Times New Roman" w:eastAsia="仿宋_GB2312" w:cs="Times New Roman"/>
          <w:color w:val="auto"/>
          <w:kern w:val="2"/>
          <w:sz w:val="32"/>
          <w:szCs w:val="32"/>
          <w:lang w:val="en-US" w:eastAsia="zh-CN" w:bidi="ar-SA"/>
        </w:rPr>
        <w:t>案例库</w:t>
      </w:r>
      <w:r>
        <w:rPr>
          <w:rFonts w:hint="eastAsia" w:ascii="Times New Roman" w:hAnsi="Times New Roman" w:eastAsia="仿宋_GB2312" w:cs="Times New Roman"/>
          <w:color w:val="auto"/>
          <w:kern w:val="2"/>
          <w:sz w:val="32"/>
          <w:szCs w:val="32"/>
          <w:lang w:val="en-US" w:eastAsia="zh-CN" w:bidi="ar-SA"/>
        </w:rPr>
        <w:t>20</w:t>
      </w:r>
      <w:r>
        <w:rPr>
          <w:rFonts w:hint="default" w:ascii="Times New Roman" w:hAnsi="Times New Roman" w:eastAsia="仿宋_GB2312" w:cs="Times New Roman"/>
          <w:color w:val="auto"/>
          <w:kern w:val="2"/>
          <w:sz w:val="32"/>
          <w:szCs w:val="32"/>
          <w:lang w:val="en-US" w:eastAsia="zh-CN" w:bidi="ar-SA"/>
        </w:rPr>
        <w:t>个，</w:t>
      </w:r>
      <w:r>
        <w:rPr>
          <w:rFonts w:hint="eastAsia" w:ascii="Times New Roman" w:hAnsi="Times New Roman" w:eastAsia="仿宋_GB2312" w:cs="Times New Roman"/>
          <w:color w:val="auto"/>
          <w:kern w:val="2"/>
          <w:sz w:val="32"/>
          <w:szCs w:val="32"/>
          <w:lang w:val="en-US" w:eastAsia="zh-CN" w:bidi="ar-SA"/>
        </w:rPr>
        <w:t>建设</w:t>
      </w:r>
      <w:r>
        <w:rPr>
          <w:rFonts w:hint="default" w:ascii="Times New Roman" w:hAnsi="Times New Roman" w:eastAsia="仿宋_GB2312" w:cs="Times New Roman"/>
          <w:color w:val="auto"/>
          <w:kern w:val="2"/>
          <w:sz w:val="32"/>
          <w:szCs w:val="32"/>
          <w:lang w:val="en-US" w:eastAsia="zh-CN" w:bidi="ar-SA"/>
        </w:rPr>
        <w:t>自治区</w:t>
      </w:r>
      <w:r>
        <w:rPr>
          <w:rFonts w:hint="eastAsia" w:ascii="Times New Roman" w:hAnsi="Times New Roman" w:eastAsia="仿宋_GB2312" w:cs="Times New Roman"/>
          <w:color w:val="auto"/>
          <w:kern w:val="2"/>
          <w:sz w:val="32"/>
          <w:szCs w:val="32"/>
          <w:lang w:val="en-US" w:eastAsia="zh-CN" w:bidi="ar-SA"/>
        </w:rPr>
        <w:t>产学研联合培养研究生示范</w:t>
      </w:r>
      <w:r>
        <w:rPr>
          <w:rFonts w:hint="default" w:ascii="Times New Roman" w:hAnsi="Times New Roman" w:eastAsia="仿宋_GB2312" w:cs="Times New Roman"/>
          <w:color w:val="auto"/>
          <w:kern w:val="2"/>
          <w:sz w:val="32"/>
          <w:szCs w:val="32"/>
          <w:lang w:val="en-US" w:eastAsia="zh-CN" w:bidi="ar-SA"/>
        </w:rPr>
        <w:t>基地3</w:t>
      </w:r>
      <w:r>
        <w:rPr>
          <w:rFonts w:hint="eastAsia"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2"/>
          <w:sz w:val="32"/>
          <w:szCs w:val="32"/>
          <w:lang w:val="en-US" w:eastAsia="zh-CN" w:bidi="ar-SA"/>
        </w:rPr>
        <w:t>个</w:t>
      </w:r>
      <w:r>
        <w:rPr>
          <w:rFonts w:hint="eastAsia" w:ascii="Times New Roman" w:hAnsi="Times New Roman" w:eastAsia="仿宋_GB2312" w:cs="Times New Roman"/>
          <w:color w:val="auto"/>
          <w:kern w:val="2"/>
          <w:sz w:val="32"/>
          <w:szCs w:val="32"/>
          <w:lang w:val="en-US" w:eastAsia="zh-CN" w:bidi="ar-SA"/>
        </w:rPr>
        <w:t>，设立校级</w:t>
      </w:r>
      <w:r>
        <w:rPr>
          <w:rFonts w:hint="default" w:ascii="Times New Roman" w:hAnsi="Times New Roman" w:eastAsia="仿宋_GB2312" w:cs="Times New Roman"/>
          <w:color w:val="auto"/>
          <w:kern w:val="2"/>
          <w:sz w:val="32"/>
          <w:szCs w:val="32"/>
          <w:lang w:val="en-US" w:eastAsia="zh-CN" w:bidi="ar-SA"/>
        </w:rPr>
        <w:t>专业学位改革示范点</w:t>
      </w:r>
      <w:r>
        <w:rPr>
          <w:rFonts w:hint="eastAsia" w:ascii="Times New Roman" w:hAnsi="Times New Roman" w:eastAsia="仿宋_GB2312" w:cs="Times New Roman"/>
          <w:color w:val="auto"/>
          <w:kern w:val="2"/>
          <w:sz w:val="32"/>
          <w:szCs w:val="32"/>
          <w:lang w:val="en-US" w:eastAsia="zh-CN" w:bidi="ar-SA"/>
        </w:rPr>
        <w:t>3</w:t>
      </w:r>
      <w:r>
        <w:rPr>
          <w:rFonts w:hint="default" w:ascii="Times New Roman" w:hAnsi="Times New Roman" w:eastAsia="仿宋_GB2312" w:cs="Times New Roman"/>
          <w:color w:val="auto"/>
          <w:kern w:val="2"/>
          <w:sz w:val="32"/>
          <w:szCs w:val="32"/>
          <w:lang w:val="en-US" w:eastAsia="zh-CN" w:bidi="ar-SA"/>
        </w:rPr>
        <w:t>个，</w:t>
      </w:r>
      <w:r>
        <w:rPr>
          <w:rFonts w:hint="eastAsia" w:ascii="Times New Roman" w:hAnsi="Times New Roman" w:eastAsia="仿宋_GB2312" w:cs="Times New Roman"/>
          <w:color w:val="auto"/>
          <w:kern w:val="2"/>
          <w:sz w:val="32"/>
          <w:szCs w:val="32"/>
          <w:lang w:val="en-US" w:eastAsia="zh-CN" w:bidi="ar-SA"/>
        </w:rPr>
        <w:t>立项自治区深化新时代教育评价改革第三批试点项目1项，</w:t>
      </w:r>
      <w:r>
        <w:rPr>
          <w:rFonts w:hint="default" w:ascii="Times New Roman" w:hAnsi="Times New Roman" w:eastAsia="仿宋_GB2312" w:cs="Times New Roman"/>
          <w:color w:val="auto"/>
          <w:kern w:val="2"/>
          <w:sz w:val="32"/>
          <w:szCs w:val="32"/>
          <w:lang w:val="en-US" w:eastAsia="zh-CN" w:bidi="ar-SA"/>
        </w:rPr>
        <w:t>深化产教融合合作平台建设。交叉学科布局取得突破</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新增工商管理学一级学科博士点，新增区域国别学、马克思主义理论2个一级学科硕士点及公共管理、工程管理、数字经济、电子信息4个专业学位点，学位点总数达26个。</w:t>
      </w:r>
    </w:p>
    <w:p w14:paraId="0EB8B9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3.</w:t>
      </w:r>
      <w:r>
        <w:rPr>
          <w:rFonts w:hint="default" w:ascii="Times New Roman" w:hAnsi="Times New Roman" w:eastAsia="仿宋_GB2312" w:cs="Times New Roman"/>
          <w:color w:val="auto"/>
          <w:kern w:val="2"/>
          <w:sz w:val="32"/>
          <w:szCs w:val="32"/>
          <w:lang w:val="en-US" w:eastAsia="zh-CN" w:bidi="ar-SA"/>
        </w:rPr>
        <w:t>教育教学改革成效显著</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评选校级教学成果奖18项、教改项目20项、新增校级培育专业5个、培育课程1个，评选自治区课程思政示范课程5门，评选出第五批课程思政示范课程8门，8名教师获课程思政教学名师称号，8个教学团队成为课程思政优秀教学团队。</w:t>
      </w:r>
    </w:p>
    <w:p w14:paraId="42E8A3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color w:val="auto"/>
          <w:kern w:val="2"/>
          <w:sz w:val="32"/>
          <w:szCs w:val="32"/>
          <w:lang w:val="en-US" w:eastAsia="zh-CN" w:bidi="ar-SA"/>
        </w:rPr>
        <w:t>科研创新与成果突破，超额完成“十四五”科研目标，成功</w:t>
      </w:r>
      <w:r>
        <w:rPr>
          <w:rFonts w:hint="default" w:ascii="Times New Roman" w:hAnsi="Times New Roman" w:eastAsia="仿宋_GB2312" w:cs="Times New Roman"/>
          <w:color w:val="auto"/>
          <w:sz w:val="32"/>
          <w:szCs w:val="32"/>
          <w:lang w:val="en-US" w:eastAsia="zh-CN"/>
        </w:rPr>
        <w:t>获批国家级课题</w:t>
      </w:r>
      <w:r>
        <w:rPr>
          <w:rFonts w:hint="eastAsia"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lang w:val="en-US" w:eastAsia="zh-CN"/>
        </w:rPr>
        <w:t>项、省部级课题</w:t>
      </w:r>
      <w:r>
        <w:rPr>
          <w:rFonts w:hint="eastAsia" w:ascii="Times New Roman" w:hAnsi="Times New Roman" w:eastAsia="仿宋_GB2312" w:cs="Times New Roman"/>
          <w:color w:val="auto"/>
          <w:sz w:val="32"/>
          <w:szCs w:val="32"/>
          <w:lang w:val="en-US" w:eastAsia="zh-CN"/>
        </w:rPr>
        <w:t>93</w:t>
      </w:r>
      <w:r>
        <w:rPr>
          <w:rFonts w:hint="default" w:ascii="Times New Roman" w:hAnsi="Times New Roman" w:eastAsia="仿宋_GB2312" w:cs="Times New Roman"/>
          <w:color w:val="auto"/>
          <w:sz w:val="32"/>
          <w:szCs w:val="32"/>
          <w:lang w:val="en-US" w:eastAsia="zh-CN"/>
        </w:rPr>
        <w:t>项、厅局级课题</w:t>
      </w:r>
      <w:r>
        <w:rPr>
          <w:rFonts w:hint="eastAsia" w:ascii="Times New Roman" w:hAnsi="Times New Roman" w:eastAsia="仿宋_GB2312" w:cs="Times New Roman"/>
          <w:color w:val="auto"/>
          <w:sz w:val="32"/>
          <w:szCs w:val="32"/>
          <w:lang w:val="en-US" w:eastAsia="zh-CN"/>
        </w:rPr>
        <w:t>127</w:t>
      </w:r>
      <w:r>
        <w:rPr>
          <w:rFonts w:hint="default" w:ascii="Times New Roman" w:hAnsi="Times New Roman" w:eastAsia="仿宋_GB2312" w:cs="Times New Roman"/>
          <w:color w:val="auto"/>
          <w:sz w:val="32"/>
          <w:szCs w:val="32"/>
          <w:lang w:val="en-US" w:eastAsia="zh-CN"/>
        </w:rPr>
        <w:t>项、横向课题</w:t>
      </w:r>
      <w:r>
        <w:rPr>
          <w:rFonts w:hint="eastAsia" w:ascii="Times New Roman" w:hAnsi="Times New Roman" w:eastAsia="仿宋_GB2312" w:cs="Times New Roman"/>
          <w:color w:val="auto"/>
          <w:sz w:val="32"/>
          <w:szCs w:val="32"/>
          <w:lang w:val="en-US" w:eastAsia="zh-CN"/>
        </w:rPr>
        <w:t>139</w:t>
      </w:r>
      <w:r>
        <w:rPr>
          <w:rFonts w:hint="default" w:ascii="Times New Roman" w:hAnsi="Times New Roman" w:eastAsia="仿宋_GB2312" w:cs="Times New Roman"/>
          <w:color w:val="auto"/>
          <w:sz w:val="32"/>
          <w:szCs w:val="32"/>
          <w:lang w:val="en-US" w:eastAsia="zh-CN"/>
        </w:rPr>
        <w:t>项</w:t>
      </w:r>
      <w:r>
        <w:rPr>
          <w:rFonts w:hint="default" w:ascii="Times New Roman" w:hAnsi="Times New Roman" w:eastAsia="仿宋_GB2312" w:cs="Times New Roman"/>
          <w:color w:val="auto"/>
          <w:kern w:val="2"/>
          <w:sz w:val="32"/>
          <w:szCs w:val="32"/>
          <w:lang w:val="en-US" w:eastAsia="zh-CN" w:bidi="ar-SA"/>
        </w:rPr>
        <w:t>。培养高校科研人员</w:t>
      </w:r>
      <w:r>
        <w:rPr>
          <w:rFonts w:hint="eastAsia" w:ascii="Times New Roman" w:hAnsi="Times New Roman" w:eastAsia="仿宋_GB2312" w:cs="Times New Roman"/>
          <w:color w:val="auto"/>
          <w:kern w:val="2"/>
          <w:sz w:val="32"/>
          <w:szCs w:val="32"/>
          <w:lang w:val="en-US" w:eastAsia="zh-CN" w:bidi="ar-SA"/>
        </w:rPr>
        <w:t>244</w:t>
      </w:r>
      <w:r>
        <w:rPr>
          <w:rFonts w:hint="default" w:ascii="Times New Roman" w:hAnsi="Times New Roman" w:eastAsia="仿宋_GB2312" w:cs="Times New Roman"/>
          <w:color w:val="auto"/>
          <w:kern w:val="2"/>
          <w:sz w:val="32"/>
          <w:szCs w:val="32"/>
          <w:lang w:val="en-US" w:eastAsia="zh-CN" w:bidi="ar-SA"/>
        </w:rPr>
        <w:t>人，科研能力显著提升，发表高水平论文</w:t>
      </w:r>
      <w:r>
        <w:rPr>
          <w:rFonts w:hint="eastAsia" w:ascii="Times New Roman" w:hAnsi="Times New Roman" w:eastAsia="仿宋_GB2312" w:cs="Times New Roman"/>
          <w:color w:val="auto"/>
          <w:kern w:val="2"/>
          <w:sz w:val="32"/>
          <w:szCs w:val="32"/>
          <w:lang w:val="en-US" w:eastAsia="zh-CN" w:bidi="ar-SA"/>
        </w:rPr>
        <w:t>270</w:t>
      </w:r>
      <w:r>
        <w:rPr>
          <w:rFonts w:hint="default" w:ascii="Times New Roman" w:hAnsi="Times New Roman" w:eastAsia="仿宋_GB2312" w:cs="Times New Roman"/>
          <w:color w:val="auto"/>
          <w:kern w:val="2"/>
          <w:sz w:val="32"/>
          <w:szCs w:val="32"/>
          <w:lang w:val="en-US" w:eastAsia="zh-CN" w:bidi="ar-SA"/>
        </w:rPr>
        <w:t>篇</w:t>
      </w:r>
      <w:r>
        <w:rPr>
          <w:rFonts w:hint="eastAsia" w:ascii="Times New Roman" w:hAnsi="Times New Roman" w:eastAsia="仿宋_GB2312" w:cs="Times New Roman"/>
          <w:color w:val="auto"/>
          <w:kern w:val="2"/>
          <w:sz w:val="32"/>
          <w:szCs w:val="32"/>
          <w:lang w:val="en-US" w:eastAsia="zh-CN" w:bidi="ar-SA"/>
        </w:rPr>
        <w:t>。新增一级学科博士学位授予点1个、一级学科硕士学位授予点1个、硕士专业学位类别2个；现有一级学科博士学位授予点2个、一级学科硕士学位授予点9个、硕士专业学位类别15个；导师队伍扩容至599人，科研实力进一步增强。</w:t>
      </w:r>
    </w:p>
    <w:p w14:paraId="043B260C">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保障学校餐饮中心、校医院、幼儿园</w:t>
      </w:r>
      <w:r>
        <w:rPr>
          <w:rFonts w:hint="eastAsia" w:ascii="Times New Roman" w:hAnsi="Times New Roman" w:eastAsia="仿宋_GB2312" w:cs="Times New Roman"/>
          <w:kern w:val="2"/>
          <w:sz w:val="32"/>
          <w:szCs w:val="32"/>
          <w:lang w:val="en-US" w:eastAsia="zh-CN" w:bidi="ar-SA"/>
        </w:rPr>
        <w:t>及校园基础设施正常</w:t>
      </w:r>
      <w:r>
        <w:rPr>
          <w:rFonts w:hint="default" w:ascii="Times New Roman" w:hAnsi="Times New Roman" w:eastAsia="仿宋_GB2312" w:cs="Times New Roman"/>
          <w:kern w:val="2"/>
          <w:sz w:val="32"/>
          <w:szCs w:val="32"/>
          <w:lang w:val="en-US" w:eastAsia="zh-CN" w:bidi="ar-SA"/>
        </w:rPr>
        <w:t>运转</w:t>
      </w:r>
      <w:r>
        <w:rPr>
          <w:rFonts w:hint="default" w:ascii="Times New Roman" w:hAnsi="Times New Roman" w:eastAsia="仿宋_GB2312" w:cs="Times New Roman"/>
          <w:color w:val="auto"/>
          <w:kern w:val="2"/>
          <w:sz w:val="32"/>
          <w:szCs w:val="32"/>
          <w:lang w:val="en-US" w:eastAsia="zh-CN" w:bidi="ar-SA"/>
        </w:rPr>
        <w:t>。一是校医院全年为师生提供优质医疗服务，累计接诊1</w:t>
      </w:r>
      <w:r>
        <w:rPr>
          <w:rFonts w:hint="eastAsia" w:ascii="Times New Roman" w:hAnsi="Times New Roman" w:eastAsia="仿宋_GB2312" w:cs="Times New Roman"/>
          <w:color w:val="auto"/>
          <w:kern w:val="2"/>
          <w:sz w:val="32"/>
          <w:szCs w:val="32"/>
          <w:lang w:val="en-US" w:eastAsia="zh-CN" w:bidi="ar-SA"/>
        </w:rPr>
        <w:t>.7</w:t>
      </w:r>
      <w:r>
        <w:rPr>
          <w:rFonts w:hint="default" w:ascii="Times New Roman" w:hAnsi="Times New Roman" w:eastAsia="仿宋_GB2312" w:cs="Times New Roman"/>
          <w:color w:val="auto"/>
          <w:kern w:val="2"/>
          <w:sz w:val="32"/>
          <w:szCs w:val="32"/>
          <w:lang w:val="en-US" w:eastAsia="zh-CN" w:bidi="ar-SA"/>
        </w:rPr>
        <w:t>万人次，协同组织健康体检约1.6</w:t>
      </w:r>
      <w:r>
        <w:rPr>
          <w:rFonts w:hint="eastAsia" w:ascii="Times New Roman" w:hAnsi="Times New Roman" w:eastAsia="仿宋_GB2312" w:cs="Times New Roman"/>
          <w:color w:val="auto"/>
          <w:kern w:val="2"/>
          <w:sz w:val="32"/>
          <w:szCs w:val="32"/>
          <w:lang w:val="en-US" w:eastAsia="zh-CN" w:bidi="ar-SA"/>
        </w:rPr>
        <w:t>万人</w:t>
      </w:r>
      <w:r>
        <w:rPr>
          <w:rFonts w:hint="default" w:ascii="Times New Roman" w:hAnsi="Times New Roman" w:eastAsia="仿宋_GB2312" w:cs="Times New Roman"/>
          <w:color w:val="auto"/>
          <w:kern w:val="2"/>
          <w:sz w:val="32"/>
          <w:szCs w:val="32"/>
          <w:lang w:val="en-US" w:eastAsia="zh-CN" w:bidi="ar-SA"/>
        </w:rPr>
        <w:t>次，切实筑牢校园健康防线；二是校幼儿园精心培育教师子女</w:t>
      </w:r>
      <w:r>
        <w:rPr>
          <w:rFonts w:hint="eastAsia" w:ascii="Times New Roman" w:hAnsi="Times New Roman" w:eastAsia="仿宋_GB2312" w:cs="Times New Roman"/>
          <w:color w:val="auto"/>
          <w:kern w:val="2"/>
          <w:sz w:val="32"/>
          <w:szCs w:val="32"/>
          <w:lang w:val="en-US" w:eastAsia="zh-CN" w:bidi="ar-SA"/>
        </w:rPr>
        <w:t>82</w:t>
      </w:r>
      <w:r>
        <w:rPr>
          <w:rFonts w:hint="default" w:ascii="Times New Roman" w:hAnsi="Times New Roman" w:eastAsia="仿宋_GB2312" w:cs="Times New Roman"/>
          <w:color w:val="auto"/>
          <w:kern w:val="2"/>
          <w:sz w:val="32"/>
          <w:szCs w:val="32"/>
          <w:lang w:val="en-US" w:eastAsia="zh-CN" w:bidi="ar-SA"/>
        </w:rPr>
        <w:t>人，以专业的教育</w:t>
      </w:r>
      <w:r>
        <w:rPr>
          <w:rFonts w:hint="default" w:ascii="Times New Roman" w:hAnsi="Times New Roman" w:eastAsia="仿宋_GB2312" w:cs="Times New Roman"/>
          <w:kern w:val="2"/>
          <w:sz w:val="32"/>
          <w:szCs w:val="32"/>
          <w:lang w:val="en-US" w:eastAsia="zh-CN" w:bidi="ar-SA"/>
        </w:rPr>
        <w:t>服务和温馨的成长环境赢得了97%的家长满意度；三是餐饮服务部全力保</w:t>
      </w:r>
      <w:r>
        <w:rPr>
          <w:rFonts w:hint="default" w:ascii="Times New Roman" w:hAnsi="Times New Roman" w:eastAsia="仿宋_GB2312" w:cs="Times New Roman"/>
          <w:color w:val="auto"/>
          <w:kern w:val="2"/>
          <w:sz w:val="32"/>
          <w:szCs w:val="32"/>
          <w:lang w:val="en-US" w:eastAsia="zh-CN" w:bidi="ar-SA"/>
        </w:rPr>
        <w:t>障</w:t>
      </w:r>
      <w:r>
        <w:rPr>
          <w:rFonts w:hint="eastAsia"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lang w:val="en-US" w:eastAsia="zh-CN" w:bidi="ar-SA"/>
        </w:rPr>
        <w:t>万余名师</w:t>
      </w:r>
      <w:r>
        <w:rPr>
          <w:rFonts w:hint="default" w:ascii="Times New Roman" w:hAnsi="Times New Roman" w:eastAsia="仿宋_GB2312" w:cs="Times New Roman"/>
          <w:kern w:val="2"/>
          <w:sz w:val="32"/>
          <w:szCs w:val="32"/>
          <w:lang w:val="en-US" w:eastAsia="zh-CN" w:bidi="ar-SA"/>
        </w:rPr>
        <w:t>生日常用餐需求，</w:t>
      </w:r>
      <w:r>
        <w:rPr>
          <w:rFonts w:hint="default" w:ascii="Times New Roman" w:hAnsi="Times New Roman" w:eastAsia="仿宋_GB2312" w:cs="Times New Roman"/>
          <w:color w:val="auto"/>
          <w:kern w:val="2"/>
          <w:sz w:val="32"/>
          <w:szCs w:val="32"/>
          <w:lang w:val="en-US" w:eastAsia="zh-CN" w:bidi="ar-SA"/>
        </w:rPr>
        <w:t>全年开展食品安全专项检查</w:t>
      </w:r>
      <w:r>
        <w:rPr>
          <w:rFonts w:hint="eastAsia" w:ascii="Times New Roman" w:hAnsi="Times New Roman" w:eastAsia="仿宋_GB2312" w:cs="Times New Roman"/>
          <w:color w:val="auto"/>
          <w:kern w:val="2"/>
          <w:sz w:val="32"/>
          <w:szCs w:val="32"/>
          <w:lang w:val="en-US" w:eastAsia="zh-CN" w:bidi="ar-SA"/>
        </w:rPr>
        <w:t>10</w:t>
      </w:r>
      <w:r>
        <w:rPr>
          <w:rFonts w:hint="default" w:ascii="Times New Roman" w:hAnsi="Times New Roman" w:eastAsia="仿宋_GB2312" w:cs="Times New Roman"/>
          <w:color w:val="auto"/>
          <w:kern w:val="2"/>
          <w:sz w:val="32"/>
          <w:szCs w:val="32"/>
          <w:lang w:val="en-US" w:eastAsia="zh-CN" w:bidi="ar-SA"/>
        </w:rPr>
        <w:t>次，确保师生</w:t>
      </w:r>
      <w:r>
        <w:rPr>
          <w:rFonts w:hint="eastAsia" w:ascii="Times New Roman" w:hAnsi="Times New Roman" w:eastAsia="仿宋_GB2312" w:cs="Times New Roman"/>
          <w:color w:val="auto"/>
          <w:kern w:val="2"/>
          <w:sz w:val="32"/>
          <w:szCs w:val="32"/>
          <w:lang w:val="en-US" w:eastAsia="zh-CN" w:bidi="ar-SA"/>
        </w:rPr>
        <w:t>“舌</w:t>
      </w:r>
      <w:r>
        <w:rPr>
          <w:rFonts w:hint="default" w:ascii="Times New Roman" w:hAnsi="Times New Roman" w:eastAsia="仿宋_GB2312" w:cs="Times New Roman"/>
          <w:kern w:val="2"/>
          <w:sz w:val="32"/>
          <w:szCs w:val="32"/>
          <w:lang w:val="en-US" w:eastAsia="zh-CN" w:bidi="ar-SA"/>
        </w:rPr>
        <w:t>尖上的安全</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为校园生活提供坚实后勤保障。</w:t>
      </w:r>
      <w:r>
        <w:rPr>
          <w:rFonts w:hint="eastAsia" w:ascii="Times New Roman" w:hAnsi="Times New Roman" w:eastAsia="仿宋_GB2312" w:cs="Times New Roman"/>
          <w:kern w:val="2"/>
          <w:sz w:val="32"/>
          <w:szCs w:val="32"/>
          <w:lang w:val="en-US" w:eastAsia="zh-CN" w:bidi="ar-SA"/>
        </w:rPr>
        <w:t>四是确保学生宿舍水电暖、电梯等日常维护以及校园基础设施的稳定运行。全年完成2936间学生宿舍的水电保障工作，32部在用电梯维保检测工作，保障校园生活设施的安全可靠。</w:t>
      </w:r>
    </w:p>
    <w:p w14:paraId="016B5FA8">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t>6.</w:t>
      </w:r>
      <w:r>
        <w:rPr>
          <w:rFonts w:hint="default" w:ascii="Times New Roman" w:hAnsi="Times New Roman" w:eastAsia="仿宋_GB2312" w:cs="Times New Roman"/>
          <w:kern w:val="2"/>
          <w:sz w:val="32"/>
          <w:szCs w:val="32"/>
          <w:lang w:val="en-US" w:eastAsia="zh-CN" w:bidi="ar-SA"/>
        </w:rPr>
        <w:t>改善校园基础建设和硬件设施</w:t>
      </w:r>
      <w:r>
        <w:rPr>
          <w:rFonts w:hint="default" w:ascii="Times New Roman" w:hAnsi="Times New Roman" w:eastAsia="仿宋_GB2312" w:cs="Times New Roman"/>
          <w:sz w:val="32"/>
          <w:szCs w:val="32"/>
          <w:lang w:val="en-US" w:eastAsia="zh-CN"/>
        </w:rPr>
        <w:t>。综合教学楼</w:t>
      </w:r>
      <w:r>
        <w:rPr>
          <w:rFonts w:hint="eastAsia" w:ascii="Times New Roman" w:hAnsi="Times New Roman" w:eastAsia="仿宋_GB2312" w:cs="Times New Roman"/>
          <w:sz w:val="32"/>
          <w:szCs w:val="32"/>
          <w:lang w:val="en-US" w:eastAsia="zh-CN"/>
        </w:rPr>
        <w:t>建成</w:t>
      </w:r>
      <w:r>
        <w:rPr>
          <w:rFonts w:hint="default" w:ascii="Times New Roman" w:hAnsi="Times New Roman" w:eastAsia="仿宋_GB2312" w:cs="Times New Roman"/>
          <w:sz w:val="32"/>
          <w:szCs w:val="32"/>
          <w:lang w:val="en-US" w:eastAsia="zh-CN"/>
        </w:rPr>
        <w:t>投用，优化教学科研空间布局提升校园硬件设施水平</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全年完成综合教学楼等水电单独计量、北校区办公室及零星维修、9号公寓配电室电力增容、部分楼宇粉刷、校本部公寓办公室</w:t>
      </w:r>
      <w:r>
        <w:rPr>
          <w:rFonts w:hint="eastAsia" w:ascii="Times New Roman" w:hAnsi="Times New Roman" w:eastAsia="仿宋_GB2312" w:cs="Times New Roman"/>
          <w:sz w:val="32"/>
          <w:szCs w:val="32"/>
          <w:lang w:val="en-US" w:eastAsia="zh-CN"/>
        </w:rPr>
        <w:t>学生宿舍改造</w:t>
      </w:r>
      <w:r>
        <w:rPr>
          <w:rFonts w:hint="default" w:ascii="Times New Roman" w:hAnsi="Times New Roman" w:eastAsia="仿宋_GB2312" w:cs="Times New Roman"/>
          <w:sz w:val="32"/>
          <w:szCs w:val="32"/>
          <w:lang w:val="en-US" w:eastAsia="zh-CN"/>
        </w:rPr>
        <w:t>等重点项目。所有项目均保质保量按期完工，有效改善了校园基础建设与硬件设施，切实保障学校日常平稳运转，优化办学基础条件，夯实学校</w:t>
      </w:r>
      <w:r>
        <w:rPr>
          <w:rFonts w:hint="eastAsia" w:ascii="Times New Roman" w:hAnsi="Times New Roman" w:eastAsia="仿宋_GB2312" w:cs="Times New Roman"/>
          <w:sz w:val="32"/>
          <w:szCs w:val="32"/>
          <w:lang w:val="en-US" w:eastAsia="zh-CN"/>
        </w:rPr>
        <w:t>办学</w:t>
      </w:r>
      <w:r>
        <w:rPr>
          <w:rFonts w:hint="default" w:ascii="Times New Roman" w:hAnsi="Times New Roman" w:eastAsia="仿宋_GB2312" w:cs="Times New Roman"/>
          <w:sz w:val="32"/>
          <w:szCs w:val="32"/>
          <w:lang w:val="en-US" w:eastAsia="zh-CN"/>
        </w:rPr>
        <w:t>基础硬件设施支撑。</w:t>
      </w:r>
    </w:p>
    <w:p w14:paraId="3210BB13">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加强校内奖学金、勤工助学及伙食补助配套经费管理工作。全面落实学生奖励政策，</w:t>
      </w:r>
      <w:r>
        <w:rPr>
          <w:rFonts w:hint="default" w:ascii="Times New Roman" w:hAnsi="Times New Roman" w:eastAsia="仿宋_GB2312" w:cs="Times New Roman"/>
          <w:color w:val="auto"/>
          <w:kern w:val="2"/>
          <w:sz w:val="32"/>
          <w:szCs w:val="32"/>
          <w:lang w:val="en-US" w:eastAsia="zh-CN" w:bidi="ar-SA"/>
        </w:rPr>
        <w:t>全年发放校级奖学金1次（惠及</w:t>
      </w:r>
      <w:r>
        <w:rPr>
          <w:rFonts w:hint="eastAsia" w:ascii="Times New Roman" w:hAnsi="Times New Roman" w:eastAsia="仿宋_GB2312" w:cs="Times New Roman"/>
          <w:color w:val="auto"/>
          <w:kern w:val="2"/>
          <w:sz w:val="32"/>
          <w:szCs w:val="32"/>
          <w:lang w:val="en-US" w:eastAsia="zh-CN" w:bidi="ar-SA"/>
        </w:rPr>
        <w:t>795</w:t>
      </w:r>
      <w:r>
        <w:rPr>
          <w:rFonts w:hint="default" w:ascii="Times New Roman" w:hAnsi="Times New Roman" w:eastAsia="仿宋_GB2312" w:cs="Times New Roman"/>
          <w:color w:val="auto"/>
          <w:kern w:val="2"/>
          <w:sz w:val="32"/>
          <w:szCs w:val="32"/>
          <w:lang w:val="en-US" w:eastAsia="zh-CN" w:bidi="ar-SA"/>
        </w:rPr>
        <w:t>人）、勤工助学资助</w:t>
      </w:r>
      <w:r>
        <w:rPr>
          <w:rFonts w:hint="eastAsia" w:ascii="Times New Roman" w:hAnsi="Times New Roman" w:eastAsia="仿宋_GB2312" w:cs="Times New Roman"/>
          <w:color w:val="auto"/>
          <w:kern w:val="2"/>
          <w:sz w:val="32"/>
          <w:szCs w:val="32"/>
          <w:lang w:val="en-US" w:eastAsia="zh-CN" w:bidi="ar-SA"/>
        </w:rPr>
        <w:t>8次（</w:t>
      </w:r>
      <w:r>
        <w:rPr>
          <w:rFonts w:hint="default" w:ascii="Times New Roman" w:hAnsi="Times New Roman" w:eastAsia="仿宋_GB2312" w:cs="Times New Roman"/>
          <w:color w:val="auto"/>
          <w:kern w:val="2"/>
          <w:sz w:val="32"/>
          <w:szCs w:val="32"/>
          <w:lang w:val="en-US" w:eastAsia="zh-CN" w:bidi="ar-SA"/>
        </w:rPr>
        <w:t>覆盖</w:t>
      </w:r>
      <w:r>
        <w:rPr>
          <w:rFonts w:hint="eastAsia" w:ascii="Times New Roman" w:hAnsi="Times New Roman" w:eastAsia="仿宋_GB2312" w:cs="Times New Roman"/>
          <w:color w:val="auto"/>
          <w:kern w:val="2"/>
          <w:sz w:val="32"/>
          <w:szCs w:val="32"/>
          <w:lang w:val="en-US" w:eastAsia="zh-CN" w:bidi="ar-SA"/>
        </w:rPr>
        <w:t>2,176人）</w:t>
      </w:r>
      <w:r>
        <w:rPr>
          <w:rFonts w:hint="default" w:ascii="Times New Roman" w:hAnsi="Times New Roman" w:eastAsia="仿宋_GB2312" w:cs="Times New Roman"/>
          <w:color w:val="auto"/>
          <w:kern w:val="2"/>
          <w:sz w:val="32"/>
          <w:szCs w:val="32"/>
          <w:lang w:val="en-US" w:eastAsia="zh-CN" w:bidi="ar-SA"/>
        </w:rPr>
        <w:t>、伙食补助1次，家庭经济困难学</w:t>
      </w:r>
      <w:r>
        <w:rPr>
          <w:rFonts w:hint="default" w:ascii="Times New Roman" w:hAnsi="Times New Roman" w:eastAsia="仿宋_GB2312" w:cs="Times New Roman"/>
          <w:kern w:val="2"/>
          <w:sz w:val="32"/>
          <w:szCs w:val="32"/>
          <w:lang w:val="en-US" w:eastAsia="zh-CN" w:bidi="ar-SA"/>
        </w:rPr>
        <w:t>生受助率100%，通过精准资助和动态调整机制，切实保障家庭经济困难学生的基本学习生活需求，提升教育公平水平。</w:t>
      </w:r>
    </w:p>
    <w:p w14:paraId="4CA06B0A">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8.</w:t>
      </w:r>
      <w:r>
        <w:rPr>
          <w:rFonts w:hint="default" w:ascii="Times New Roman" w:hAnsi="Times New Roman" w:eastAsia="仿宋_GB2312" w:cs="Times New Roman"/>
          <w:color w:val="auto"/>
          <w:kern w:val="2"/>
          <w:sz w:val="32"/>
          <w:szCs w:val="32"/>
          <w:lang w:val="en-US" w:eastAsia="zh-CN" w:bidi="ar-SA"/>
        </w:rPr>
        <w:t>珠算协会202</w:t>
      </w:r>
      <w:r>
        <w:rPr>
          <w:rFonts w:hint="eastAsia"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2"/>
          <w:sz w:val="32"/>
          <w:szCs w:val="32"/>
          <w:lang w:val="en-US" w:eastAsia="zh-CN" w:bidi="ar-SA"/>
        </w:rPr>
        <w:t>年积极开展珠心算工作，为传承和发展我区珠心算教育事业</w:t>
      </w:r>
      <w:r>
        <w:rPr>
          <w:rFonts w:hint="eastAsia" w:ascii="Times New Roman" w:hAnsi="Times New Roman" w:eastAsia="仿宋_GB2312" w:cs="Times New Roman"/>
          <w:color w:val="auto"/>
          <w:kern w:val="2"/>
          <w:sz w:val="32"/>
          <w:szCs w:val="32"/>
          <w:lang w:val="en-US" w:eastAsia="zh-CN" w:bidi="ar-SA"/>
        </w:rPr>
        <w:t>作出</w:t>
      </w:r>
      <w:r>
        <w:rPr>
          <w:rFonts w:hint="default" w:ascii="Times New Roman" w:hAnsi="Times New Roman" w:eastAsia="仿宋_GB2312" w:cs="Times New Roman"/>
          <w:color w:val="auto"/>
          <w:kern w:val="2"/>
          <w:sz w:val="32"/>
          <w:szCs w:val="32"/>
          <w:lang w:val="en-US" w:eastAsia="zh-CN" w:bidi="ar-SA"/>
        </w:rPr>
        <w:t>新的贡献。参加中国珠算心算协会举办的相关</w:t>
      </w:r>
      <w:r>
        <w:rPr>
          <w:rFonts w:hint="eastAsia" w:ascii="Times New Roman" w:hAnsi="Times New Roman" w:eastAsia="仿宋_GB2312" w:cs="Times New Roman"/>
          <w:color w:val="auto"/>
          <w:kern w:val="2"/>
          <w:sz w:val="32"/>
          <w:szCs w:val="32"/>
          <w:lang w:val="en-US" w:eastAsia="zh-CN" w:bidi="ar-SA"/>
        </w:rPr>
        <w:t>交流</w:t>
      </w:r>
      <w:r>
        <w:rPr>
          <w:rFonts w:hint="default" w:ascii="Times New Roman" w:hAnsi="Times New Roman" w:eastAsia="仿宋_GB2312" w:cs="Times New Roman"/>
          <w:color w:val="auto"/>
          <w:kern w:val="2"/>
          <w:sz w:val="32"/>
          <w:szCs w:val="32"/>
          <w:lang w:val="en-US" w:eastAsia="zh-CN" w:bidi="ar-SA"/>
        </w:rPr>
        <w:t>会议4次；积极参与第33届海峡两岸珠心算通讯比赛、中国珠算心算协会第七届全国珠心算比赛，斩获</w:t>
      </w:r>
      <w:r>
        <w:rPr>
          <w:rFonts w:hint="eastAsia"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lang w:val="en-US" w:eastAsia="zh-CN" w:bidi="ar-SA"/>
        </w:rPr>
        <w:t>个</w:t>
      </w:r>
      <w:r>
        <w:rPr>
          <w:rFonts w:hint="eastAsia" w:ascii="Times New Roman" w:hAnsi="Times New Roman" w:eastAsia="仿宋_GB2312" w:cs="Times New Roman"/>
          <w:color w:val="auto"/>
          <w:kern w:val="2"/>
          <w:sz w:val="32"/>
          <w:szCs w:val="32"/>
          <w:lang w:val="en-US" w:eastAsia="zh-CN" w:bidi="ar-SA"/>
        </w:rPr>
        <w:t>二</w:t>
      </w:r>
      <w:r>
        <w:rPr>
          <w:rFonts w:hint="default" w:ascii="Times New Roman" w:hAnsi="Times New Roman" w:eastAsia="仿宋_GB2312" w:cs="Times New Roman"/>
          <w:color w:val="auto"/>
          <w:kern w:val="2"/>
          <w:sz w:val="32"/>
          <w:szCs w:val="32"/>
          <w:lang w:val="en-US" w:eastAsia="zh-CN" w:bidi="ar-SA"/>
        </w:rPr>
        <w:t>等奖、</w:t>
      </w:r>
      <w:r>
        <w:rPr>
          <w:rFonts w:hint="eastAsia" w:ascii="Times New Roman" w:hAnsi="Times New Roman" w:eastAsia="仿宋_GB2312" w:cs="Times New Roman"/>
          <w:color w:val="auto"/>
          <w:kern w:val="2"/>
          <w:sz w:val="32"/>
          <w:szCs w:val="32"/>
          <w:lang w:val="en-US" w:eastAsia="zh-CN" w:bidi="ar-SA"/>
        </w:rPr>
        <w:t>18</w:t>
      </w:r>
      <w:r>
        <w:rPr>
          <w:rFonts w:hint="default" w:ascii="Times New Roman" w:hAnsi="Times New Roman" w:eastAsia="仿宋_GB2312" w:cs="Times New Roman"/>
          <w:color w:val="auto"/>
          <w:kern w:val="2"/>
          <w:sz w:val="32"/>
          <w:szCs w:val="32"/>
          <w:lang w:val="en-US" w:eastAsia="zh-CN" w:bidi="ar-SA"/>
        </w:rPr>
        <w:t>个三等奖的个人优异成绩，荣获团体</w:t>
      </w:r>
      <w:r>
        <w:rPr>
          <w:rFonts w:hint="eastAsia" w:ascii="Times New Roman" w:hAnsi="Times New Roman" w:eastAsia="仿宋_GB2312" w:cs="Times New Roman"/>
          <w:color w:val="auto"/>
          <w:kern w:val="2"/>
          <w:sz w:val="32"/>
          <w:szCs w:val="32"/>
          <w:lang w:val="en-US" w:eastAsia="zh-CN" w:bidi="ar-SA"/>
        </w:rPr>
        <w:t>三</w:t>
      </w:r>
      <w:r>
        <w:rPr>
          <w:rFonts w:hint="default" w:ascii="Times New Roman" w:hAnsi="Times New Roman" w:eastAsia="仿宋_GB2312" w:cs="Times New Roman"/>
          <w:color w:val="auto"/>
          <w:kern w:val="2"/>
          <w:sz w:val="32"/>
          <w:szCs w:val="32"/>
          <w:lang w:val="en-US" w:eastAsia="zh-CN" w:bidi="ar-SA"/>
        </w:rPr>
        <w:t>等奖；无纸化鉴定组织</w:t>
      </w:r>
      <w:r>
        <w:rPr>
          <w:rFonts w:hint="eastAsia" w:ascii="Times New Roman" w:hAnsi="Times New Roman" w:eastAsia="仿宋_GB2312"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场，</w:t>
      </w:r>
      <w:r>
        <w:rPr>
          <w:rFonts w:hint="eastAsia" w:ascii="Times New Roman" w:hAnsi="Times New Roman" w:eastAsia="仿宋_GB2312" w:cs="Times New Roman"/>
          <w:color w:val="auto"/>
          <w:kern w:val="2"/>
          <w:sz w:val="32"/>
          <w:szCs w:val="32"/>
          <w:lang w:val="en-US" w:eastAsia="zh-CN" w:bidi="ar-SA"/>
        </w:rPr>
        <w:t>130</w:t>
      </w:r>
      <w:r>
        <w:rPr>
          <w:rFonts w:hint="default" w:ascii="Times New Roman" w:hAnsi="Times New Roman" w:eastAsia="仿宋_GB2312" w:cs="Times New Roman"/>
          <w:color w:val="auto"/>
          <w:kern w:val="2"/>
          <w:sz w:val="32"/>
          <w:szCs w:val="32"/>
          <w:lang w:val="en-US" w:eastAsia="zh-CN" w:bidi="ar-SA"/>
        </w:rPr>
        <w:t>人报名，通过鉴定</w:t>
      </w:r>
      <w:r>
        <w:rPr>
          <w:rFonts w:hint="eastAsia" w:ascii="Times New Roman" w:hAnsi="Times New Roman" w:eastAsia="仿宋_GB2312" w:cs="Times New Roman"/>
          <w:color w:val="auto"/>
          <w:kern w:val="2"/>
          <w:sz w:val="32"/>
          <w:szCs w:val="32"/>
          <w:lang w:val="en-US" w:eastAsia="zh-CN" w:bidi="ar-SA"/>
        </w:rPr>
        <w:t>106</w:t>
      </w:r>
      <w:r>
        <w:rPr>
          <w:rFonts w:hint="default" w:ascii="Times New Roman" w:hAnsi="Times New Roman" w:eastAsia="仿宋_GB2312" w:cs="Times New Roman"/>
          <w:color w:val="auto"/>
          <w:kern w:val="2"/>
          <w:sz w:val="32"/>
          <w:szCs w:val="32"/>
          <w:lang w:val="en-US" w:eastAsia="zh-CN" w:bidi="ar-SA"/>
        </w:rPr>
        <w:t>人</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通过率</w:t>
      </w:r>
      <w:r>
        <w:rPr>
          <w:rFonts w:hint="eastAsia" w:ascii="Times New Roman" w:hAnsi="Times New Roman" w:eastAsia="仿宋_GB2312" w:cs="Times New Roman"/>
          <w:color w:val="auto"/>
          <w:kern w:val="2"/>
          <w:sz w:val="32"/>
          <w:szCs w:val="32"/>
          <w:lang w:val="en-US" w:eastAsia="zh-CN" w:bidi="ar-SA"/>
        </w:rPr>
        <w:t>81.54</w:t>
      </w:r>
      <w:r>
        <w:rPr>
          <w:rFonts w:hint="default"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全年</w:t>
      </w:r>
      <w:r>
        <w:rPr>
          <w:rFonts w:hint="default" w:ascii="Times New Roman" w:hAnsi="Times New Roman" w:eastAsia="仿宋_GB2312" w:cs="Times New Roman"/>
          <w:color w:val="auto"/>
          <w:kern w:val="2"/>
          <w:sz w:val="32"/>
          <w:szCs w:val="32"/>
          <w:lang w:val="en-US" w:eastAsia="zh-CN" w:bidi="ar-SA"/>
        </w:rPr>
        <w:t>发行珠算协会内刊《新疆珠算心算》4期，4</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000册</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出版新疆珠算心算2025年征文活动论文集1本。</w:t>
      </w:r>
    </w:p>
    <w:p w14:paraId="1C7E65AA">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增加图书馆图书量，提高学校图书资源配置。完成202</w:t>
      </w:r>
      <w:r>
        <w:rPr>
          <w:rFonts w:hint="eastAsia"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2"/>
          <w:sz w:val="32"/>
          <w:szCs w:val="32"/>
          <w:lang w:val="en-US" w:eastAsia="zh-CN" w:bidi="ar-SA"/>
        </w:rPr>
        <w:t>年期刊征订</w:t>
      </w:r>
      <w:r>
        <w:rPr>
          <w:rFonts w:hint="eastAsia" w:ascii="Times New Roman" w:hAnsi="Times New Roman" w:eastAsia="仿宋_GB2312" w:cs="Times New Roman"/>
          <w:color w:val="auto"/>
          <w:kern w:val="2"/>
          <w:sz w:val="32"/>
          <w:szCs w:val="32"/>
          <w:lang w:val="en-US" w:eastAsia="zh-CN" w:bidi="ar-SA"/>
        </w:rPr>
        <w:t>176</w:t>
      </w:r>
      <w:r>
        <w:rPr>
          <w:rFonts w:hint="default" w:ascii="Times New Roman" w:hAnsi="Times New Roman" w:eastAsia="仿宋_GB2312" w:cs="Times New Roman"/>
          <w:color w:val="auto"/>
          <w:kern w:val="2"/>
          <w:sz w:val="32"/>
          <w:szCs w:val="32"/>
          <w:lang w:val="en-US" w:eastAsia="zh-CN" w:bidi="ar-SA"/>
        </w:rPr>
        <w:t>种；图书采购</w:t>
      </w:r>
      <w:r>
        <w:rPr>
          <w:rFonts w:hint="eastAsia" w:ascii="Times New Roman" w:hAnsi="Times New Roman" w:eastAsia="仿宋_GB2312" w:cs="Times New Roman"/>
          <w:color w:val="auto"/>
          <w:kern w:val="2"/>
          <w:sz w:val="32"/>
          <w:szCs w:val="32"/>
          <w:lang w:val="en-US" w:eastAsia="zh-CN" w:bidi="ar-SA"/>
        </w:rPr>
        <w:t>47,043</w:t>
      </w:r>
      <w:r>
        <w:rPr>
          <w:rFonts w:hint="default" w:ascii="Times New Roman" w:hAnsi="Times New Roman" w:eastAsia="仿宋_GB2312" w:cs="Times New Roman"/>
          <w:color w:val="auto"/>
          <w:kern w:val="2"/>
          <w:sz w:val="32"/>
          <w:szCs w:val="32"/>
          <w:lang w:val="en-US" w:eastAsia="zh-CN" w:bidi="ar-SA"/>
        </w:rPr>
        <w:t>册；数据库服务</w:t>
      </w:r>
      <w:r>
        <w:rPr>
          <w:rFonts w:hint="eastAsia" w:ascii="Times New Roman" w:hAnsi="Times New Roman" w:eastAsia="仿宋_GB2312"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个数据库；购买年鉴</w:t>
      </w:r>
      <w:r>
        <w:rPr>
          <w:rFonts w:hint="eastAsia" w:ascii="Times New Roman" w:hAnsi="Times New Roman" w:eastAsia="仿宋_GB2312" w:cs="Times New Roman"/>
          <w:color w:val="auto"/>
          <w:kern w:val="2"/>
          <w:sz w:val="32"/>
          <w:szCs w:val="32"/>
          <w:lang w:val="en-US" w:eastAsia="zh-CN" w:bidi="ar-SA"/>
        </w:rPr>
        <w:t>12,395</w:t>
      </w:r>
      <w:r>
        <w:rPr>
          <w:rFonts w:hint="default" w:ascii="Times New Roman" w:hAnsi="Times New Roman" w:eastAsia="仿宋_GB2312" w:cs="Times New Roman"/>
          <w:color w:val="auto"/>
          <w:kern w:val="2"/>
          <w:sz w:val="32"/>
          <w:szCs w:val="32"/>
          <w:lang w:val="en-US" w:eastAsia="zh-CN" w:bidi="ar-SA"/>
        </w:rPr>
        <w:t>元；2025年报纸征订</w:t>
      </w:r>
      <w:r>
        <w:rPr>
          <w:rFonts w:hint="eastAsia" w:ascii="Times New Roman" w:hAnsi="Times New Roman" w:eastAsia="仿宋_GB2312" w:cs="Times New Roman"/>
          <w:color w:val="auto"/>
          <w:kern w:val="2"/>
          <w:sz w:val="32"/>
          <w:szCs w:val="32"/>
          <w:lang w:val="en-US" w:eastAsia="zh-CN" w:bidi="ar-SA"/>
        </w:rPr>
        <w:t>15,150</w:t>
      </w:r>
      <w:r>
        <w:rPr>
          <w:rFonts w:hint="default" w:ascii="Times New Roman" w:hAnsi="Times New Roman" w:eastAsia="仿宋_GB2312" w:cs="Times New Roman"/>
          <w:color w:val="auto"/>
          <w:kern w:val="2"/>
          <w:sz w:val="32"/>
          <w:szCs w:val="32"/>
          <w:lang w:val="en-US" w:eastAsia="zh-CN" w:bidi="ar-SA"/>
        </w:rPr>
        <w:t>种。</w:t>
      </w:r>
    </w:p>
    <w:p w14:paraId="64839A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三、部门单位整体支出绩效分析</w:t>
      </w:r>
    </w:p>
    <w:p w14:paraId="3D8F5596">
      <w:pPr>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lang w:val="en-US" w:eastAsia="zh-CN"/>
        </w:rPr>
      </w:pPr>
      <w:r>
        <w:rPr>
          <w:rStyle w:val="11"/>
          <w:rFonts w:hint="default" w:ascii="Times New Roman" w:hAnsi="Times New Roman" w:eastAsia="楷体" w:cs="Times New Roman"/>
          <w:b/>
          <w:bCs w:val="0"/>
          <w:spacing w:val="-4"/>
          <w:sz w:val="32"/>
          <w:szCs w:val="32"/>
          <w:lang w:val="en-US" w:eastAsia="zh-CN"/>
        </w:rPr>
        <w:t>（一）指标一：引进青年优秀人才数量</w:t>
      </w:r>
    </w:p>
    <w:p w14:paraId="6B9D389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default"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202</w:t>
      </w:r>
      <w:r>
        <w:rPr>
          <w:rStyle w:val="11"/>
          <w:rFonts w:hint="eastAsia" w:ascii="Times New Roman" w:hAnsi="Times New Roman" w:eastAsia="仿宋_GB2312" w:cs="Times New Roman"/>
          <w:b w:val="0"/>
          <w:spacing w:val="-4"/>
          <w:sz w:val="32"/>
          <w:szCs w:val="32"/>
          <w:lang w:val="en-US" w:eastAsia="zh-CN"/>
        </w:rPr>
        <w:t>5</w:t>
      </w:r>
      <w:r>
        <w:rPr>
          <w:rStyle w:val="11"/>
          <w:rFonts w:hint="default" w:ascii="Times New Roman" w:hAnsi="Times New Roman" w:eastAsia="仿宋_GB2312" w:cs="Times New Roman"/>
          <w:b w:val="0"/>
          <w:spacing w:val="-4"/>
          <w:sz w:val="32"/>
          <w:szCs w:val="32"/>
          <w:lang w:val="en-US" w:eastAsia="zh-CN"/>
        </w:rPr>
        <w:t>年该指标设定预期指标值为</w:t>
      </w:r>
      <w:r>
        <w:rPr>
          <w:rStyle w:val="11"/>
          <w:rFonts w:hint="default" w:ascii="Times New Roman" w:hAnsi="Times New Roman" w:eastAsia="仿宋_GB2312" w:cs="Times New Roman"/>
          <w:b w:val="0"/>
          <w:spacing w:val="-4"/>
          <w:kern w:val="2"/>
          <w:sz w:val="32"/>
          <w:szCs w:val="32"/>
          <w:lang w:val="en-US" w:eastAsia="zh-CN" w:bidi="ar-SA"/>
        </w:rPr>
        <w:t>&gt;</w:t>
      </w:r>
      <w:r>
        <w:rPr>
          <w:rStyle w:val="11"/>
          <w:rFonts w:hint="default" w:ascii="Times New Roman" w:hAnsi="Times New Roman" w:eastAsia="仿宋_GB2312" w:cs="Times New Roman"/>
          <w:b w:val="0"/>
          <w:spacing w:val="-4"/>
          <w:sz w:val="32"/>
          <w:szCs w:val="32"/>
          <w:lang w:val="en-US" w:eastAsia="zh-CN"/>
        </w:rPr>
        <w:t>=25人，分值权重</w:t>
      </w:r>
      <w:r>
        <w:rPr>
          <w:rStyle w:val="11"/>
          <w:rFonts w:hint="eastAsia" w:ascii="Times New Roman" w:hAnsi="Times New Roman" w:eastAsia="仿宋_GB2312" w:cs="Times New Roman"/>
          <w:b w:val="0"/>
          <w:spacing w:val="-4"/>
          <w:sz w:val="32"/>
          <w:szCs w:val="32"/>
          <w:lang w:val="en-US" w:eastAsia="zh-CN"/>
        </w:rPr>
        <w:t>15</w:t>
      </w:r>
      <w:r>
        <w:rPr>
          <w:rStyle w:val="11"/>
          <w:rFonts w:hint="default" w:ascii="Times New Roman" w:hAnsi="Times New Roman" w:eastAsia="仿宋_GB2312" w:cs="Times New Roman"/>
          <w:b w:val="0"/>
          <w:spacing w:val="-4"/>
          <w:sz w:val="32"/>
          <w:szCs w:val="32"/>
          <w:lang w:val="en-US" w:eastAsia="zh-CN"/>
        </w:rPr>
        <w:t>。根据自治区财政厅绩效监控要求，202</w:t>
      </w:r>
      <w:r>
        <w:rPr>
          <w:rStyle w:val="11"/>
          <w:rFonts w:hint="eastAsia" w:ascii="Times New Roman" w:hAnsi="Times New Roman" w:eastAsia="仿宋_GB2312" w:cs="Times New Roman"/>
          <w:b w:val="0"/>
          <w:spacing w:val="-4"/>
          <w:sz w:val="32"/>
          <w:szCs w:val="32"/>
          <w:lang w:val="en-US" w:eastAsia="zh-CN"/>
        </w:rPr>
        <w:t>5</w:t>
      </w:r>
      <w:r>
        <w:rPr>
          <w:rStyle w:val="11"/>
          <w:rFonts w:hint="default" w:ascii="Times New Roman" w:hAnsi="Times New Roman" w:eastAsia="仿宋_GB2312" w:cs="Times New Roman"/>
          <w:b w:val="0"/>
          <w:spacing w:val="-4"/>
          <w:sz w:val="32"/>
          <w:szCs w:val="32"/>
          <w:lang w:val="en-US" w:eastAsia="zh-CN"/>
        </w:rPr>
        <w:t>年6月进行整体绩效目标绩效监控时，该指标完成值为</w:t>
      </w:r>
      <w:r>
        <w:rPr>
          <w:rStyle w:val="11"/>
          <w:rFonts w:hint="eastAsia" w:ascii="Times New Roman" w:hAnsi="Times New Roman" w:eastAsia="仿宋_GB2312" w:cs="Times New Roman"/>
          <w:b w:val="0"/>
          <w:spacing w:val="-4"/>
          <w:sz w:val="32"/>
          <w:szCs w:val="32"/>
          <w:lang w:val="en-US" w:eastAsia="zh-CN"/>
        </w:rPr>
        <w:t>20</w:t>
      </w:r>
      <w:r>
        <w:rPr>
          <w:rStyle w:val="11"/>
          <w:rFonts w:hint="default" w:ascii="Times New Roman" w:hAnsi="Times New Roman" w:eastAsia="仿宋_GB2312" w:cs="Times New Roman"/>
          <w:b w:val="0"/>
          <w:spacing w:val="-4"/>
          <w:sz w:val="32"/>
          <w:szCs w:val="32"/>
          <w:lang w:val="en-US" w:eastAsia="zh-CN"/>
        </w:rPr>
        <w:t>人，指标完成率</w:t>
      </w:r>
      <w:r>
        <w:rPr>
          <w:rStyle w:val="11"/>
          <w:rFonts w:hint="eastAsia" w:ascii="Times New Roman" w:hAnsi="Times New Roman" w:eastAsia="仿宋_GB2312" w:cs="Times New Roman"/>
          <w:b w:val="0"/>
          <w:spacing w:val="-4"/>
          <w:sz w:val="32"/>
          <w:szCs w:val="32"/>
          <w:lang w:val="en-US" w:eastAsia="zh-CN"/>
        </w:rPr>
        <w:t>80</w:t>
      </w:r>
      <w:r>
        <w:rPr>
          <w:rStyle w:val="11"/>
          <w:rFonts w:hint="default" w:ascii="Times New Roman" w:hAnsi="Times New Roman" w:eastAsia="仿宋_GB2312" w:cs="Times New Roman"/>
          <w:b w:val="0"/>
          <w:spacing w:val="-4"/>
          <w:sz w:val="32"/>
          <w:szCs w:val="32"/>
          <w:lang w:val="en-US" w:eastAsia="zh-CN"/>
        </w:rPr>
        <w:t>%；本次评价实际指标完成值</w:t>
      </w:r>
      <w:r>
        <w:rPr>
          <w:rStyle w:val="11"/>
          <w:rFonts w:hint="eastAsia" w:ascii="Times New Roman" w:hAnsi="Times New Roman" w:eastAsia="仿宋_GB2312" w:cs="Times New Roman"/>
          <w:b w:val="0"/>
          <w:spacing w:val="-4"/>
          <w:sz w:val="32"/>
          <w:szCs w:val="32"/>
          <w:lang w:val="en-US" w:eastAsia="zh-CN"/>
        </w:rPr>
        <w:t>25</w:t>
      </w:r>
      <w:r>
        <w:rPr>
          <w:rStyle w:val="11"/>
          <w:rFonts w:hint="default" w:ascii="Times New Roman" w:hAnsi="Times New Roman" w:eastAsia="仿宋_GB2312" w:cs="Times New Roman"/>
          <w:b w:val="0"/>
          <w:spacing w:val="-4"/>
          <w:sz w:val="32"/>
          <w:szCs w:val="32"/>
          <w:lang w:val="en-US" w:eastAsia="zh-CN"/>
        </w:rPr>
        <w:t>人，指标完成率100%，得满分。</w:t>
      </w:r>
    </w:p>
    <w:p w14:paraId="1B82D44F">
      <w:pPr>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highlight w:val="none"/>
          <w:lang w:val="en-US" w:eastAsia="zh-CN"/>
        </w:rPr>
        <w:t>（二）指标二：本科生培养数量</w:t>
      </w:r>
    </w:p>
    <w:p w14:paraId="623C9303">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eastAsia"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202</w:t>
      </w:r>
      <w:r>
        <w:rPr>
          <w:rStyle w:val="11"/>
          <w:rFonts w:hint="eastAsia" w:ascii="Times New Roman" w:hAnsi="Times New Roman" w:eastAsia="仿宋_GB2312" w:cs="Times New Roman"/>
          <w:b w:val="0"/>
          <w:spacing w:val="-4"/>
          <w:sz w:val="32"/>
          <w:szCs w:val="32"/>
          <w:lang w:val="en-US" w:eastAsia="zh-CN"/>
        </w:rPr>
        <w:t>5</w:t>
      </w:r>
      <w:r>
        <w:rPr>
          <w:rStyle w:val="11"/>
          <w:rFonts w:hint="default" w:ascii="Times New Roman" w:hAnsi="Times New Roman" w:eastAsia="仿宋_GB2312" w:cs="Times New Roman"/>
          <w:b w:val="0"/>
          <w:spacing w:val="-4"/>
          <w:sz w:val="32"/>
          <w:szCs w:val="32"/>
          <w:lang w:val="en-US" w:eastAsia="zh-CN"/>
        </w:rPr>
        <w:t>年该指标设定预期指标值为</w:t>
      </w:r>
      <w:r>
        <w:rPr>
          <w:rStyle w:val="11"/>
          <w:rFonts w:hint="default" w:ascii="Times New Roman" w:hAnsi="Times New Roman" w:eastAsia="仿宋_GB2312" w:cs="Times New Roman"/>
          <w:b w:val="0"/>
          <w:spacing w:val="-4"/>
          <w:kern w:val="2"/>
          <w:sz w:val="32"/>
          <w:szCs w:val="32"/>
          <w:lang w:val="en-US" w:eastAsia="zh-CN" w:bidi="ar-SA"/>
        </w:rPr>
        <w:t>&gt;</w:t>
      </w:r>
      <w:r>
        <w:rPr>
          <w:rStyle w:val="11"/>
          <w:rFonts w:hint="default" w:ascii="Times New Roman" w:hAnsi="Times New Roman" w:eastAsia="仿宋_GB2312" w:cs="Times New Roman"/>
          <w:b w:val="0"/>
          <w:spacing w:val="-4"/>
          <w:sz w:val="32"/>
          <w:szCs w:val="32"/>
          <w:lang w:val="en-US" w:eastAsia="zh-CN"/>
        </w:rPr>
        <w:t>=15</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057</w:t>
      </w:r>
      <w:r>
        <w:rPr>
          <w:rStyle w:val="11"/>
          <w:rFonts w:hint="eastAsia" w:ascii="Times New Roman" w:hAnsi="Times New Roman" w:eastAsia="仿宋_GB2312" w:cs="Times New Roman"/>
          <w:b w:val="0"/>
          <w:spacing w:val="-4"/>
          <w:sz w:val="32"/>
          <w:szCs w:val="32"/>
          <w:lang w:val="en-US" w:eastAsia="zh-CN"/>
        </w:rPr>
        <w:t>人</w:t>
      </w:r>
      <w:r>
        <w:rPr>
          <w:rStyle w:val="11"/>
          <w:rFonts w:hint="default" w:ascii="Times New Roman" w:hAnsi="Times New Roman" w:eastAsia="仿宋_GB2312" w:cs="Times New Roman"/>
          <w:b w:val="0"/>
          <w:spacing w:val="-4"/>
          <w:sz w:val="32"/>
          <w:szCs w:val="32"/>
          <w:lang w:val="en-US" w:eastAsia="zh-CN"/>
        </w:rPr>
        <w:t>，分值权重10。根据自治区财政厅绩效监控要求，202</w:t>
      </w:r>
      <w:r>
        <w:rPr>
          <w:rStyle w:val="11"/>
          <w:rFonts w:hint="eastAsia" w:ascii="Times New Roman" w:hAnsi="Times New Roman" w:eastAsia="仿宋_GB2312" w:cs="Times New Roman"/>
          <w:b w:val="0"/>
          <w:spacing w:val="-4"/>
          <w:sz w:val="32"/>
          <w:szCs w:val="32"/>
          <w:lang w:val="en-US" w:eastAsia="zh-CN"/>
        </w:rPr>
        <w:t>5</w:t>
      </w:r>
      <w:r>
        <w:rPr>
          <w:rStyle w:val="11"/>
          <w:rFonts w:hint="default" w:ascii="Times New Roman" w:hAnsi="Times New Roman" w:eastAsia="仿宋_GB2312" w:cs="Times New Roman"/>
          <w:b w:val="0"/>
          <w:spacing w:val="-4"/>
          <w:sz w:val="32"/>
          <w:szCs w:val="32"/>
          <w:lang w:val="en-US" w:eastAsia="zh-CN"/>
        </w:rPr>
        <w:t>年6月进行整体绩效目标绩效监控时，该指标完成值为15</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088人，指标完成率</w:t>
      </w:r>
      <w:r>
        <w:rPr>
          <w:rStyle w:val="11"/>
          <w:rFonts w:hint="eastAsia" w:ascii="Times New Roman" w:hAnsi="Times New Roman" w:eastAsia="仿宋_GB2312" w:cs="Times New Roman"/>
          <w:b w:val="0"/>
          <w:spacing w:val="-4"/>
          <w:sz w:val="32"/>
          <w:szCs w:val="32"/>
          <w:lang w:val="en-US" w:eastAsia="zh-CN"/>
        </w:rPr>
        <w:t>100</w:t>
      </w:r>
      <w:r>
        <w:rPr>
          <w:rStyle w:val="11"/>
          <w:rFonts w:hint="default" w:ascii="Times New Roman" w:hAnsi="Times New Roman" w:eastAsia="仿宋_GB2312" w:cs="Times New Roman"/>
          <w:b w:val="0"/>
          <w:spacing w:val="-4"/>
          <w:sz w:val="32"/>
          <w:szCs w:val="32"/>
          <w:lang w:val="en-US" w:eastAsia="zh-CN"/>
        </w:rPr>
        <w:t>%；本次评价实际指标完成值16</w:t>
      </w:r>
      <w:r>
        <w:rPr>
          <w:rStyle w:val="11"/>
          <w:rFonts w:hint="eastAsia" w:ascii="Times New Roman" w:hAnsi="Times New Roman" w:eastAsia="仿宋_GB2312" w:cs="Times New Roman"/>
          <w:b w:val="0"/>
          <w:spacing w:val="-4"/>
          <w:sz w:val="32"/>
          <w:szCs w:val="32"/>
          <w:lang w:val="en-US" w:eastAsia="zh-CN"/>
        </w:rPr>
        <w:t>,482</w:t>
      </w:r>
      <w:r>
        <w:rPr>
          <w:rStyle w:val="11"/>
          <w:rFonts w:hint="default" w:ascii="Times New Roman" w:hAnsi="Times New Roman" w:eastAsia="仿宋_GB2312" w:cs="Times New Roman"/>
          <w:b w:val="0"/>
          <w:spacing w:val="-4"/>
          <w:sz w:val="32"/>
          <w:szCs w:val="32"/>
          <w:lang w:val="en-US" w:eastAsia="zh-CN"/>
        </w:rPr>
        <w:t>人，指标完成率</w:t>
      </w:r>
      <w:r>
        <w:rPr>
          <w:rStyle w:val="11"/>
          <w:rFonts w:hint="eastAsia" w:ascii="Times New Roman" w:hAnsi="Times New Roman" w:eastAsia="仿宋_GB2312" w:cs="Times New Roman"/>
          <w:b w:val="0"/>
          <w:spacing w:val="-4"/>
          <w:sz w:val="32"/>
          <w:szCs w:val="32"/>
          <w:lang w:val="en-US" w:eastAsia="zh-CN"/>
        </w:rPr>
        <w:t>100</w:t>
      </w:r>
      <w:r>
        <w:rPr>
          <w:rStyle w:val="11"/>
          <w:rFonts w:hint="default" w:ascii="Times New Roman" w:hAnsi="Times New Roman" w:eastAsia="仿宋_GB2312" w:cs="Times New Roman"/>
          <w:b w:val="0"/>
          <w:spacing w:val="-4"/>
          <w:sz w:val="32"/>
          <w:szCs w:val="32"/>
          <w:lang w:val="en-US" w:eastAsia="zh-CN"/>
        </w:rPr>
        <w:t>%，得满分</w:t>
      </w:r>
      <w:r>
        <w:rPr>
          <w:rStyle w:val="11"/>
          <w:rFonts w:hint="eastAsia" w:ascii="Times New Roman" w:hAnsi="Times New Roman" w:eastAsia="仿宋_GB2312" w:cs="Times New Roman"/>
          <w:b w:val="0"/>
          <w:spacing w:val="-4"/>
          <w:sz w:val="32"/>
          <w:szCs w:val="32"/>
          <w:lang w:val="en-US" w:eastAsia="zh-CN"/>
        </w:rPr>
        <w:t>。</w:t>
      </w:r>
    </w:p>
    <w:p w14:paraId="07635B76">
      <w:pPr>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highlight w:val="none"/>
          <w:lang w:val="en-US" w:eastAsia="zh-CN"/>
        </w:rPr>
        <w:t>（三）指标三：研究生培养数量</w:t>
      </w:r>
    </w:p>
    <w:p w14:paraId="302C2E2A">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default" w:ascii="Times New Roman" w:hAnsi="Times New Roman" w:eastAsia="仿宋_GB2312" w:cs="Times New Roman"/>
          <w:b w:val="0"/>
          <w:color w:val="FF000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年该指标设定预期指标值为&gt;=24</w:t>
      </w:r>
      <w:r>
        <w:rPr>
          <w:rStyle w:val="11"/>
          <w:rFonts w:hint="eastAsia" w:ascii="Times New Roman" w:hAnsi="Times New Roman" w:eastAsia="仿宋_GB2312" w:cs="Times New Roman"/>
          <w:b w:val="0"/>
          <w:spacing w:val="-4"/>
          <w:kern w:val="2"/>
          <w:sz w:val="32"/>
          <w:szCs w:val="32"/>
          <w:lang w:val="en-US" w:eastAsia="zh-CN" w:bidi="ar-SA"/>
        </w:rPr>
        <w:t>80人</w:t>
      </w:r>
      <w:r>
        <w:rPr>
          <w:rStyle w:val="11"/>
          <w:rFonts w:hint="default" w:ascii="Times New Roman" w:hAnsi="Times New Roman" w:eastAsia="仿宋_GB2312" w:cs="Times New Roman"/>
          <w:b w:val="0"/>
          <w:spacing w:val="-4"/>
          <w:kern w:val="2"/>
          <w:sz w:val="32"/>
          <w:szCs w:val="32"/>
          <w:lang w:val="en-US" w:eastAsia="zh-CN" w:bidi="ar-SA"/>
        </w:rPr>
        <w:t>，分值权重10。根据自治区财政厅绩效监控要求，2024年6月进行整体绩效目标绩效监控时，该指标完成值为</w:t>
      </w:r>
      <w:r>
        <w:rPr>
          <w:rStyle w:val="11"/>
          <w:rFonts w:hint="eastAsia" w:ascii="Times New Roman" w:hAnsi="Times New Roman" w:eastAsia="仿宋_GB2312" w:cs="Times New Roman"/>
          <w:b w:val="0"/>
          <w:spacing w:val="-4"/>
          <w:kern w:val="2"/>
          <w:sz w:val="32"/>
          <w:szCs w:val="32"/>
          <w:lang w:val="en-US" w:eastAsia="zh-CN" w:bidi="ar-SA"/>
        </w:rPr>
        <w:t>1,954</w:t>
      </w:r>
      <w:r>
        <w:rPr>
          <w:rStyle w:val="11"/>
          <w:rFonts w:hint="default" w:ascii="Times New Roman" w:hAnsi="Times New Roman" w:eastAsia="仿宋_GB2312" w:cs="Times New Roman"/>
          <w:b w:val="0"/>
          <w:spacing w:val="-4"/>
          <w:kern w:val="2"/>
          <w:sz w:val="32"/>
          <w:szCs w:val="32"/>
          <w:lang w:val="en-US" w:eastAsia="zh-CN" w:bidi="ar-SA"/>
        </w:rPr>
        <w:t>人，指标完成率</w:t>
      </w:r>
      <w:r>
        <w:rPr>
          <w:rStyle w:val="11"/>
          <w:rFonts w:hint="eastAsia" w:ascii="Times New Roman" w:hAnsi="Times New Roman" w:eastAsia="仿宋_GB2312" w:cs="Times New Roman"/>
          <w:b w:val="0"/>
          <w:spacing w:val="-4"/>
          <w:kern w:val="2"/>
          <w:sz w:val="32"/>
          <w:szCs w:val="32"/>
          <w:lang w:val="en-US" w:eastAsia="zh-CN" w:bidi="ar-SA"/>
        </w:rPr>
        <w:t>78.79</w:t>
      </w:r>
      <w:r>
        <w:rPr>
          <w:rStyle w:val="11"/>
          <w:rFonts w:hint="default" w:ascii="Times New Roman" w:hAnsi="Times New Roman" w:eastAsia="仿宋_GB2312" w:cs="Times New Roman"/>
          <w:b w:val="0"/>
          <w:spacing w:val="-4"/>
          <w:kern w:val="2"/>
          <w:sz w:val="32"/>
          <w:szCs w:val="32"/>
          <w:lang w:val="en-US" w:eastAsia="zh-CN" w:bidi="ar-SA"/>
        </w:rPr>
        <w:t>%；本次评价实际指标完成值</w:t>
      </w:r>
      <w:r>
        <w:rPr>
          <w:rStyle w:val="11"/>
          <w:rFonts w:hint="eastAsia" w:ascii="Times New Roman" w:hAnsi="Times New Roman" w:eastAsia="仿宋_GB2312" w:cs="Times New Roman"/>
          <w:b w:val="0"/>
          <w:spacing w:val="-4"/>
          <w:kern w:val="2"/>
          <w:sz w:val="32"/>
          <w:szCs w:val="32"/>
          <w:lang w:val="en-US" w:eastAsia="zh-CN" w:bidi="ar-SA"/>
        </w:rPr>
        <w:t>2,710</w:t>
      </w:r>
      <w:r>
        <w:rPr>
          <w:rStyle w:val="11"/>
          <w:rFonts w:hint="default" w:ascii="Times New Roman" w:hAnsi="Times New Roman" w:eastAsia="仿宋_GB2312" w:cs="Times New Roman"/>
          <w:b w:val="0"/>
          <w:spacing w:val="-4"/>
          <w:kern w:val="2"/>
          <w:sz w:val="32"/>
          <w:szCs w:val="32"/>
          <w:lang w:val="en-US" w:eastAsia="zh-CN" w:bidi="ar-SA"/>
        </w:rPr>
        <w:t>人，指标完成率100%，得满分。</w:t>
      </w:r>
    </w:p>
    <w:p w14:paraId="1D77A482">
      <w:pPr>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highlight w:val="none"/>
          <w:lang w:val="en-US" w:eastAsia="zh-CN"/>
        </w:rPr>
        <w:t>（四）指标四：专业学位研究生教育综合改革示范点</w:t>
      </w:r>
    </w:p>
    <w:p w14:paraId="6F8BF0AA">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1"/>
          <w:rFonts w:hint="default" w:ascii="Times New Roman" w:hAnsi="Times New Roman" w:eastAsia="仿宋_GB2312" w:cs="Times New Roman"/>
          <w:b w:val="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年该指标设定预期指标值为&gt;=3个，分值权重</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w:t>
      </w:r>
      <w:r>
        <w:rPr>
          <w:rStyle w:val="11"/>
          <w:rFonts w:hint="eastAsia" w:ascii="Times New Roman" w:hAnsi="Times New Roman" w:eastAsia="仿宋_GB2312" w:cs="Times New Roman"/>
          <w:b w:val="0"/>
          <w:spacing w:val="-4"/>
          <w:kern w:val="2"/>
          <w:sz w:val="32"/>
          <w:szCs w:val="32"/>
          <w:lang w:val="en-US" w:eastAsia="zh-CN" w:bidi="ar-SA"/>
        </w:rPr>
        <w:t>3</w:t>
      </w:r>
      <w:r>
        <w:rPr>
          <w:rStyle w:val="11"/>
          <w:rFonts w:hint="default" w:ascii="Times New Roman" w:hAnsi="Times New Roman" w:eastAsia="仿宋_GB2312" w:cs="Times New Roman"/>
          <w:b w:val="0"/>
          <w:spacing w:val="-4"/>
          <w:kern w:val="2"/>
          <w:sz w:val="32"/>
          <w:szCs w:val="32"/>
          <w:lang w:val="en-US" w:eastAsia="zh-CN" w:bidi="ar-SA"/>
        </w:rPr>
        <w:t>个，指标完成率100%；本次评价实际指标完成值</w:t>
      </w:r>
      <w:r>
        <w:rPr>
          <w:rStyle w:val="11"/>
          <w:rFonts w:hint="eastAsia" w:ascii="Times New Roman" w:hAnsi="Times New Roman" w:eastAsia="仿宋_GB2312" w:cs="Times New Roman"/>
          <w:b w:val="0"/>
          <w:spacing w:val="-4"/>
          <w:kern w:val="2"/>
          <w:sz w:val="32"/>
          <w:szCs w:val="32"/>
          <w:lang w:val="en-US" w:eastAsia="zh-CN" w:bidi="ar-SA"/>
        </w:rPr>
        <w:t>3</w:t>
      </w:r>
      <w:r>
        <w:rPr>
          <w:rStyle w:val="11"/>
          <w:rFonts w:hint="default" w:ascii="Times New Roman" w:hAnsi="Times New Roman" w:eastAsia="仿宋_GB2312" w:cs="Times New Roman"/>
          <w:b w:val="0"/>
          <w:spacing w:val="-4"/>
          <w:kern w:val="2"/>
          <w:sz w:val="32"/>
          <w:szCs w:val="32"/>
          <w:lang w:val="en-US" w:eastAsia="zh-CN" w:bidi="ar-SA"/>
        </w:rPr>
        <w:t>个，指标完成率100%，得满分。</w:t>
      </w:r>
    </w:p>
    <w:p w14:paraId="68FCF4A2">
      <w:pPr>
        <w:keepNext w:val="0"/>
        <w:keepLines w:val="0"/>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highlight w:val="none"/>
          <w:lang w:val="en-US" w:eastAsia="zh-CN"/>
        </w:rPr>
        <w:t>（五）指标五：虚拟教研室建设点</w:t>
      </w:r>
    </w:p>
    <w:p w14:paraId="074CAA84">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1"/>
          <w:rFonts w:hint="default" w:ascii="Times New Roman" w:hAnsi="Times New Roman" w:eastAsia="仿宋_GB2312" w:cs="Times New Roman"/>
          <w:b w:val="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年该指标设定预期指标值为&gt;=7个，分值权重5。根据自治区财政厅绩效监控要求，202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w:t>
      </w:r>
      <w:r>
        <w:rPr>
          <w:rStyle w:val="11"/>
          <w:rFonts w:hint="eastAsia" w:ascii="Times New Roman" w:hAnsi="Times New Roman" w:eastAsia="仿宋_GB2312" w:cs="Times New Roman"/>
          <w:b w:val="0"/>
          <w:spacing w:val="-4"/>
          <w:kern w:val="2"/>
          <w:sz w:val="32"/>
          <w:szCs w:val="32"/>
          <w:lang w:val="en-US" w:eastAsia="zh-CN" w:bidi="ar-SA"/>
        </w:rPr>
        <w:t>7</w:t>
      </w:r>
      <w:r>
        <w:rPr>
          <w:rStyle w:val="11"/>
          <w:rFonts w:hint="default" w:ascii="Times New Roman" w:hAnsi="Times New Roman" w:eastAsia="仿宋_GB2312" w:cs="Times New Roman"/>
          <w:b w:val="0"/>
          <w:spacing w:val="-4"/>
          <w:kern w:val="2"/>
          <w:sz w:val="32"/>
          <w:szCs w:val="32"/>
          <w:lang w:val="en-US" w:eastAsia="zh-CN" w:bidi="ar-SA"/>
        </w:rPr>
        <w:t>个，指标完成率</w:t>
      </w:r>
      <w:r>
        <w:rPr>
          <w:rStyle w:val="11"/>
          <w:rFonts w:hint="eastAsia" w:ascii="Times New Roman" w:hAnsi="Times New Roman" w:eastAsia="仿宋_GB2312" w:cs="Times New Roman"/>
          <w:b w:val="0"/>
          <w:spacing w:val="-4"/>
          <w:kern w:val="2"/>
          <w:sz w:val="32"/>
          <w:szCs w:val="32"/>
          <w:lang w:val="en-US" w:eastAsia="zh-CN" w:bidi="ar-SA"/>
        </w:rPr>
        <w:t>100</w:t>
      </w:r>
      <w:r>
        <w:rPr>
          <w:rStyle w:val="11"/>
          <w:rFonts w:hint="default" w:ascii="Times New Roman" w:hAnsi="Times New Roman" w:eastAsia="仿宋_GB2312" w:cs="Times New Roman"/>
          <w:b w:val="0"/>
          <w:spacing w:val="-4"/>
          <w:kern w:val="2"/>
          <w:sz w:val="32"/>
          <w:szCs w:val="32"/>
          <w:lang w:val="en-US" w:eastAsia="zh-CN" w:bidi="ar-SA"/>
        </w:rPr>
        <w:t>%；本次评价实际指标完成值</w:t>
      </w:r>
      <w:r>
        <w:rPr>
          <w:rStyle w:val="11"/>
          <w:rFonts w:hint="eastAsia" w:ascii="Times New Roman" w:hAnsi="Times New Roman" w:eastAsia="仿宋_GB2312" w:cs="Times New Roman"/>
          <w:b w:val="0"/>
          <w:spacing w:val="-4"/>
          <w:kern w:val="2"/>
          <w:sz w:val="32"/>
          <w:szCs w:val="32"/>
          <w:lang w:val="en-US" w:eastAsia="zh-CN" w:bidi="ar-SA"/>
        </w:rPr>
        <w:t>7</w:t>
      </w:r>
      <w:r>
        <w:rPr>
          <w:rStyle w:val="11"/>
          <w:rFonts w:hint="default" w:ascii="Times New Roman" w:hAnsi="Times New Roman" w:eastAsia="仿宋_GB2312" w:cs="Times New Roman"/>
          <w:b w:val="0"/>
          <w:spacing w:val="-4"/>
          <w:kern w:val="2"/>
          <w:sz w:val="32"/>
          <w:szCs w:val="32"/>
          <w:lang w:val="en-US" w:eastAsia="zh-CN" w:bidi="ar-SA"/>
        </w:rPr>
        <w:t>个，指标完成率</w:t>
      </w:r>
      <w:r>
        <w:rPr>
          <w:rStyle w:val="11"/>
          <w:rFonts w:hint="eastAsia" w:ascii="Times New Roman" w:hAnsi="Times New Roman" w:eastAsia="仿宋_GB2312" w:cs="Times New Roman"/>
          <w:b w:val="0"/>
          <w:spacing w:val="-4"/>
          <w:kern w:val="2"/>
          <w:sz w:val="32"/>
          <w:szCs w:val="32"/>
          <w:lang w:val="en-US" w:eastAsia="zh-CN" w:bidi="ar-SA"/>
        </w:rPr>
        <w:t>100</w:t>
      </w:r>
      <w:r>
        <w:rPr>
          <w:rStyle w:val="11"/>
          <w:rFonts w:hint="default" w:ascii="Times New Roman" w:hAnsi="Times New Roman" w:eastAsia="仿宋_GB2312" w:cs="Times New Roman"/>
          <w:b w:val="0"/>
          <w:spacing w:val="-4"/>
          <w:kern w:val="2"/>
          <w:sz w:val="32"/>
          <w:szCs w:val="32"/>
          <w:lang w:val="en-US" w:eastAsia="zh-CN" w:bidi="ar-SA"/>
        </w:rPr>
        <w:t>%，得</w:t>
      </w:r>
      <w:r>
        <w:rPr>
          <w:rStyle w:val="11"/>
          <w:rFonts w:hint="eastAsia" w:ascii="Times New Roman" w:hAnsi="Times New Roman" w:eastAsia="仿宋_GB2312" w:cs="Times New Roman"/>
          <w:b w:val="0"/>
          <w:spacing w:val="-4"/>
          <w:kern w:val="2"/>
          <w:sz w:val="32"/>
          <w:szCs w:val="32"/>
          <w:lang w:val="en-US" w:eastAsia="zh-CN" w:bidi="ar-SA"/>
        </w:rPr>
        <w:t>满分</w:t>
      </w:r>
      <w:r>
        <w:rPr>
          <w:rStyle w:val="11"/>
          <w:rFonts w:hint="default" w:ascii="Times New Roman" w:hAnsi="Times New Roman" w:eastAsia="仿宋_GB2312" w:cs="Times New Roman"/>
          <w:b w:val="0"/>
          <w:spacing w:val="-4"/>
          <w:kern w:val="2"/>
          <w:sz w:val="32"/>
          <w:szCs w:val="32"/>
          <w:lang w:val="en-US" w:eastAsia="zh-CN" w:bidi="ar-SA"/>
        </w:rPr>
        <w:t>。</w:t>
      </w:r>
    </w:p>
    <w:p w14:paraId="65A572D2">
      <w:pPr>
        <w:keepNext w:val="0"/>
        <w:keepLines w:val="0"/>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highlight w:val="none"/>
          <w:lang w:val="en-US" w:eastAsia="zh-CN"/>
        </w:rPr>
        <w:t>（六）指标六：新增自治区产学研基地数量</w:t>
      </w:r>
    </w:p>
    <w:p w14:paraId="29E5A3B5">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1"/>
          <w:rFonts w:hint="default" w:ascii="Times New Roman" w:hAnsi="Times New Roman" w:eastAsia="仿宋_GB2312" w:cs="Times New Roman"/>
          <w:b w:val="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年该指标设定预期指标值为&gt;=3个，分值权重</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w:t>
      </w:r>
      <w:r>
        <w:rPr>
          <w:rStyle w:val="11"/>
          <w:rFonts w:hint="eastAsia" w:ascii="Times New Roman" w:hAnsi="Times New Roman" w:eastAsia="仿宋_GB2312" w:cs="Times New Roman"/>
          <w:b w:val="0"/>
          <w:spacing w:val="-4"/>
          <w:kern w:val="2"/>
          <w:sz w:val="32"/>
          <w:szCs w:val="32"/>
          <w:lang w:val="en-US" w:eastAsia="zh-CN" w:bidi="ar-SA"/>
        </w:rPr>
        <w:t>0个</w:t>
      </w:r>
      <w:r>
        <w:rPr>
          <w:rStyle w:val="11"/>
          <w:rFonts w:hint="default" w:ascii="Times New Roman" w:hAnsi="Times New Roman" w:eastAsia="仿宋_GB2312" w:cs="Times New Roman"/>
          <w:b w:val="0"/>
          <w:spacing w:val="-4"/>
          <w:kern w:val="2"/>
          <w:sz w:val="32"/>
          <w:szCs w:val="32"/>
          <w:lang w:val="en-US" w:eastAsia="zh-CN" w:bidi="ar-SA"/>
        </w:rPr>
        <w:t>，指标完成率</w:t>
      </w:r>
      <w:r>
        <w:rPr>
          <w:rStyle w:val="11"/>
          <w:rFonts w:hint="eastAsia" w:ascii="Times New Roman" w:hAnsi="Times New Roman" w:eastAsia="仿宋_GB2312" w:cs="Times New Roman"/>
          <w:b w:val="0"/>
          <w:spacing w:val="-4"/>
          <w:kern w:val="2"/>
          <w:sz w:val="32"/>
          <w:szCs w:val="32"/>
          <w:lang w:val="en-US" w:eastAsia="zh-CN" w:bidi="ar-SA"/>
        </w:rPr>
        <w:t>0</w:t>
      </w:r>
      <w:r>
        <w:rPr>
          <w:rStyle w:val="11"/>
          <w:rFonts w:hint="default" w:ascii="Times New Roman" w:hAnsi="Times New Roman" w:eastAsia="仿宋_GB2312" w:cs="Times New Roman"/>
          <w:b w:val="0"/>
          <w:spacing w:val="-4"/>
          <w:kern w:val="2"/>
          <w:sz w:val="32"/>
          <w:szCs w:val="32"/>
          <w:lang w:val="en-US" w:eastAsia="zh-CN" w:bidi="ar-SA"/>
        </w:rPr>
        <w:t>%；本次评价实际指标完成值10</w:t>
      </w:r>
      <w:r>
        <w:rPr>
          <w:rStyle w:val="11"/>
          <w:rFonts w:hint="eastAsia" w:ascii="Times New Roman" w:hAnsi="Times New Roman" w:eastAsia="仿宋_GB2312" w:cs="Times New Roman"/>
          <w:b w:val="0"/>
          <w:spacing w:val="-4"/>
          <w:kern w:val="2"/>
          <w:sz w:val="32"/>
          <w:szCs w:val="32"/>
          <w:lang w:val="en-US" w:eastAsia="zh-CN" w:bidi="ar-SA"/>
        </w:rPr>
        <w:t>个</w:t>
      </w:r>
      <w:r>
        <w:rPr>
          <w:rStyle w:val="11"/>
          <w:rFonts w:hint="default" w:ascii="Times New Roman" w:hAnsi="Times New Roman" w:eastAsia="仿宋_GB2312" w:cs="Times New Roman"/>
          <w:b w:val="0"/>
          <w:spacing w:val="-4"/>
          <w:kern w:val="2"/>
          <w:sz w:val="32"/>
          <w:szCs w:val="32"/>
          <w:lang w:val="en-US" w:eastAsia="zh-CN" w:bidi="ar-SA"/>
        </w:rPr>
        <w:t>，指标完成率100%，得满分。</w:t>
      </w:r>
    </w:p>
    <w:p w14:paraId="6842CE4D">
      <w:pPr>
        <w:keepNext w:val="0"/>
        <w:keepLines w:val="0"/>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lang w:val="en-US" w:eastAsia="zh-CN"/>
        </w:rPr>
        <w:t>（七）指标七：</w:t>
      </w:r>
      <w:r>
        <w:rPr>
          <w:rStyle w:val="11"/>
          <w:rFonts w:hint="default" w:ascii="Times New Roman" w:hAnsi="Times New Roman" w:eastAsia="楷体" w:cs="Times New Roman"/>
          <w:b/>
          <w:bCs w:val="0"/>
          <w:spacing w:val="-4"/>
          <w:sz w:val="32"/>
          <w:szCs w:val="32"/>
          <w:highlight w:val="none"/>
          <w:lang w:val="en-US" w:eastAsia="zh-CN"/>
        </w:rPr>
        <w:t>发表高水平学术论文篇数</w:t>
      </w:r>
    </w:p>
    <w:p w14:paraId="793A3F8B">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1"/>
          <w:rFonts w:hint="default" w:ascii="Times New Roman" w:hAnsi="Times New Roman" w:eastAsia="仿宋_GB2312" w:cs="Times New Roman"/>
          <w:b w:val="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年该指标设定预期指标值为&gt;=120篇，分值权重10。根据自治区财政厅绩效监控要求，202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4</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w:t>
      </w:r>
      <w:r>
        <w:rPr>
          <w:rStyle w:val="11"/>
          <w:rFonts w:hint="eastAsia" w:ascii="Times New Roman" w:hAnsi="Times New Roman" w:eastAsia="仿宋_GB2312" w:cs="Times New Roman"/>
          <w:b w:val="0"/>
          <w:spacing w:val="-4"/>
          <w:kern w:val="2"/>
          <w:sz w:val="32"/>
          <w:szCs w:val="32"/>
          <w:lang w:val="en-US" w:eastAsia="zh-CN" w:bidi="ar-SA"/>
        </w:rPr>
        <w:t>64篇</w:t>
      </w:r>
      <w:r>
        <w:rPr>
          <w:rStyle w:val="11"/>
          <w:rFonts w:hint="default" w:ascii="Times New Roman" w:hAnsi="Times New Roman" w:eastAsia="仿宋_GB2312" w:cs="Times New Roman"/>
          <w:b w:val="0"/>
          <w:spacing w:val="-4"/>
          <w:kern w:val="2"/>
          <w:sz w:val="32"/>
          <w:szCs w:val="32"/>
          <w:lang w:val="en-US" w:eastAsia="zh-CN" w:bidi="ar-SA"/>
        </w:rPr>
        <w:t>，指标完成率</w:t>
      </w:r>
      <w:r>
        <w:rPr>
          <w:rStyle w:val="11"/>
          <w:rFonts w:hint="eastAsia" w:ascii="Times New Roman" w:hAnsi="Times New Roman" w:eastAsia="仿宋_GB2312" w:cs="Times New Roman"/>
          <w:b w:val="0"/>
          <w:spacing w:val="-4"/>
          <w:kern w:val="2"/>
          <w:sz w:val="32"/>
          <w:szCs w:val="32"/>
          <w:lang w:val="en-US" w:eastAsia="zh-CN" w:bidi="ar-SA"/>
        </w:rPr>
        <w:t>53</w:t>
      </w:r>
      <w:r>
        <w:rPr>
          <w:rStyle w:val="11"/>
          <w:rFonts w:hint="default" w:ascii="Times New Roman" w:hAnsi="Times New Roman" w:eastAsia="仿宋_GB2312" w:cs="Times New Roman"/>
          <w:b w:val="0"/>
          <w:spacing w:val="-4"/>
          <w:kern w:val="2"/>
          <w:sz w:val="32"/>
          <w:szCs w:val="32"/>
          <w:lang w:val="en-US" w:eastAsia="zh-CN" w:bidi="ar-SA"/>
        </w:rPr>
        <w:t>%；本次评价实际指标</w:t>
      </w:r>
      <w:r>
        <w:rPr>
          <w:rStyle w:val="11"/>
          <w:rFonts w:hint="default" w:ascii="Times New Roman" w:hAnsi="Times New Roman" w:eastAsia="仿宋_GB2312" w:cs="Times New Roman"/>
          <w:b w:val="0"/>
          <w:color w:val="auto"/>
          <w:spacing w:val="-4"/>
          <w:kern w:val="2"/>
          <w:sz w:val="32"/>
          <w:szCs w:val="32"/>
          <w:lang w:val="en-US" w:eastAsia="zh-CN" w:bidi="ar-SA"/>
        </w:rPr>
        <w:t>完成值</w:t>
      </w:r>
      <w:r>
        <w:rPr>
          <w:rStyle w:val="11"/>
          <w:rFonts w:hint="eastAsia" w:ascii="Times New Roman" w:hAnsi="Times New Roman" w:eastAsia="仿宋_GB2312" w:cs="Times New Roman"/>
          <w:b w:val="0"/>
          <w:color w:val="auto"/>
          <w:spacing w:val="-4"/>
          <w:kern w:val="2"/>
          <w:sz w:val="32"/>
          <w:szCs w:val="32"/>
          <w:lang w:val="en-US" w:eastAsia="zh-CN" w:bidi="ar-SA"/>
        </w:rPr>
        <w:t>270篇，</w:t>
      </w:r>
      <w:r>
        <w:rPr>
          <w:rStyle w:val="11"/>
          <w:rFonts w:hint="default" w:ascii="Times New Roman" w:hAnsi="Times New Roman" w:eastAsia="仿宋_GB2312" w:cs="Times New Roman"/>
          <w:b w:val="0"/>
          <w:color w:val="auto"/>
          <w:spacing w:val="-4"/>
          <w:kern w:val="2"/>
          <w:sz w:val="32"/>
          <w:szCs w:val="32"/>
          <w:lang w:val="en-US" w:eastAsia="zh-CN" w:bidi="ar-SA"/>
        </w:rPr>
        <w:t>指标完成率100%，得满分。</w:t>
      </w:r>
    </w:p>
    <w:p w14:paraId="2934E4B8">
      <w:pPr>
        <w:keepNext w:val="0"/>
        <w:keepLines w:val="0"/>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highlight w:val="none"/>
          <w:lang w:val="en-US" w:eastAsia="zh-CN"/>
        </w:rPr>
        <w:t>（八）指标八：课题立项数</w:t>
      </w:r>
    </w:p>
    <w:p w14:paraId="613B406C">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1"/>
          <w:rFonts w:hint="default" w:ascii="Times New Roman" w:hAnsi="Times New Roman" w:eastAsia="仿宋_GB2312" w:cs="Times New Roman"/>
          <w:b w:val="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年该指标设定预期指标值为&gt;=125项，分值权重10。根据自治区财政厅绩效监控要求，202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w:t>
      </w:r>
      <w:r>
        <w:rPr>
          <w:rStyle w:val="11"/>
          <w:rFonts w:hint="eastAsia" w:ascii="Times New Roman" w:hAnsi="Times New Roman" w:eastAsia="仿宋_GB2312" w:cs="Times New Roman"/>
          <w:b w:val="0"/>
          <w:spacing w:val="-4"/>
          <w:kern w:val="2"/>
          <w:sz w:val="32"/>
          <w:szCs w:val="32"/>
          <w:lang w:val="en-US" w:eastAsia="zh-CN" w:bidi="ar-SA"/>
        </w:rPr>
        <w:t>80项</w:t>
      </w:r>
      <w:r>
        <w:rPr>
          <w:rStyle w:val="11"/>
          <w:rFonts w:hint="default" w:ascii="Times New Roman" w:hAnsi="Times New Roman" w:eastAsia="仿宋_GB2312" w:cs="Times New Roman"/>
          <w:b w:val="0"/>
          <w:spacing w:val="-4"/>
          <w:kern w:val="2"/>
          <w:sz w:val="32"/>
          <w:szCs w:val="32"/>
          <w:lang w:val="en-US" w:eastAsia="zh-CN" w:bidi="ar-SA"/>
        </w:rPr>
        <w:t>，指标完成率</w:t>
      </w:r>
      <w:r>
        <w:rPr>
          <w:rStyle w:val="11"/>
          <w:rFonts w:hint="eastAsia" w:ascii="Times New Roman" w:hAnsi="Times New Roman" w:eastAsia="仿宋_GB2312" w:cs="Times New Roman"/>
          <w:b w:val="0"/>
          <w:spacing w:val="-4"/>
          <w:kern w:val="2"/>
          <w:sz w:val="32"/>
          <w:szCs w:val="32"/>
          <w:lang w:val="en-US" w:eastAsia="zh-CN" w:bidi="ar-SA"/>
        </w:rPr>
        <w:t>64</w:t>
      </w:r>
      <w:r>
        <w:rPr>
          <w:rStyle w:val="11"/>
          <w:rFonts w:hint="default" w:ascii="Times New Roman" w:hAnsi="Times New Roman" w:eastAsia="仿宋_GB2312" w:cs="Times New Roman"/>
          <w:b w:val="0"/>
          <w:spacing w:val="-4"/>
          <w:kern w:val="2"/>
          <w:sz w:val="32"/>
          <w:szCs w:val="32"/>
          <w:lang w:val="en-US" w:eastAsia="zh-CN" w:bidi="ar-SA"/>
        </w:rPr>
        <w:t>%；本次评价实际指标完成值</w:t>
      </w:r>
      <w:r>
        <w:rPr>
          <w:rStyle w:val="11"/>
          <w:rFonts w:hint="eastAsia" w:ascii="Times New Roman" w:hAnsi="Times New Roman" w:eastAsia="仿宋_GB2312" w:cs="Times New Roman"/>
          <w:b w:val="0"/>
          <w:spacing w:val="-4"/>
          <w:kern w:val="2"/>
          <w:sz w:val="32"/>
          <w:szCs w:val="32"/>
          <w:lang w:val="en-US" w:eastAsia="zh-CN" w:bidi="ar-SA"/>
        </w:rPr>
        <w:t>375项</w:t>
      </w:r>
      <w:r>
        <w:rPr>
          <w:rStyle w:val="11"/>
          <w:rFonts w:hint="default" w:ascii="Times New Roman" w:hAnsi="Times New Roman" w:eastAsia="仿宋_GB2312" w:cs="Times New Roman"/>
          <w:b w:val="0"/>
          <w:spacing w:val="-4"/>
          <w:kern w:val="2"/>
          <w:sz w:val="32"/>
          <w:szCs w:val="32"/>
          <w:lang w:val="en-US" w:eastAsia="zh-CN" w:bidi="ar-SA"/>
        </w:rPr>
        <w:t>，指标完成率100%，得满分。</w:t>
      </w:r>
    </w:p>
    <w:p w14:paraId="2E782743">
      <w:pPr>
        <w:keepNext w:val="0"/>
        <w:keepLines w:val="0"/>
        <w:pageBreakBefore w:val="0"/>
        <w:kinsoku/>
        <w:wordWrap/>
        <w:overflowPunct/>
        <w:topLinePunct w:val="0"/>
        <w:autoSpaceDE/>
        <w:autoSpaceDN/>
        <w:bidi w:val="0"/>
        <w:adjustRightInd/>
        <w:spacing w:line="560" w:lineRule="exact"/>
        <w:ind w:firstLine="567" w:firstLineChars="181"/>
        <w:textAlignment w:val="auto"/>
        <w:rPr>
          <w:rStyle w:val="11"/>
          <w:rFonts w:hint="default" w:ascii="Times New Roman" w:hAnsi="Times New Roman" w:eastAsia="楷体" w:cs="Times New Roman"/>
          <w:b/>
          <w:bCs w:val="0"/>
          <w:spacing w:val="-4"/>
          <w:sz w:val="32"/>
          <w:szCs w:val="32"/>
          <w:highlight w:val="none"/>
          <w:lang w:val="en-US" w:eastAsia="zh-CN"/>
        </w:rPr>
      </w:pPr>
      <w:r>
        <w:rPr>
          <w:rStyle w:val="11"/>
          <w:rFonts w:hint="default" w:ascii="Times New Roman" w:hAnsi="Times New Roman" w:eastAsia="楷体" w:cs="Times New Roman"/>
          <w:b/>
          <w:bCs w:val="0"/>
          <w:spacing w:val="-4"/>
          <w:sz w:val="32"/>
          <w:szCs w:val="32"/>
          <w:lang w:val="en-US" w:eastAsia="zh-CN"/>
        </w:rPr>
        <w:t>（九）指标九：</w:t>
      </w:r>
      <w:r>
        <w:rPr>
          <w:rStyle w:val="11"/>
          <w:rFonts w:hint="default" w:ascii="Times New Roman" w:hAnsi="Times New Roman" w:eastAsia="楷体" w:cs="Times New Roman"/>
          <w:b/>
          <w:bCs w:val="0"/>
          <w:spacing w:val="-4"/>
          <w:sz w:val="32"/>
          <w:szCs w:val="32"/>
          <w:highlight w:val="none"/>
          <w:lang w:val="en-US" w:eastAsia="zh-CN"/>
        </w:rPr>
        <w:t>学生毕业率</w:t>
      </w:r>
    </w:p>
    <w:p w14:paraId="5BA1A562">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11"/>
          <w:rFonts w:hint="default" w:ascii="Times New Roman" w:hAnsi="Times New Roman" w:eastAsia="仿宋_GB2312" w:cs="Times New Roman"/>
          <w:b w:val="0"/>
          <w:spacing w:val="-4"/>
          <w:kern w:val="2"/>
          <w:sz w:val="32"/>
          <w:szCs w:val="32"/>
          <w:lang w:val="en-US" w:eastAsia="zh-CN" w:bidi="ar-SA"/>
        </w:rPr>
      </w:pP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年该指标设定预期指标值为&gt;=82%，分值权重10。根据自治区财政厅绩效监控要求，202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年6月进行整体绩效目标绩效监控时，该指标完成值为94.06%，指标完成率</w:t>
      </w:r>
      <w:r>
        <w:rPr>
          <w:rStyle w:val="11"/>
          <w:rFonts w:hint="eastAsia" w:ascii="Times New Roman" w:hAnsi="Times New Roman" w:eastAsia="仿宋_GB2312" w:cs="Times New Roman"/>
          <w:b w:val="0"/>
          <w:spacing w:val="-4"/>
          <w:kern w:val="2"/>
          <w:sz w:val="32"/>
          <w:szCs w:val="32"/>
          <w:lang w:val="en-US" w:eastAsia="zh-CN" w:bidi="ar-SA"/>
        </w:rPr>
        <w:t>100</w:t>
      </w:r>
      <w:r>
        <w:rPr>
          <w:rStyle w:val="11"/>
          <w:rFonts w:hint="default" w:ascii="Times New Roman" w:hAnsi="Times New Roman" w:eastAsia="仿宋_GB2312" w:cs="Times New Roman"/>
          <w:b w:val="0"/>
          <w:spacing w:val="-4"/>
          <w:kern w:val="2"/>
          <w:sz w:val="32"/>
          <w:szCs w:val="32"/>
          <w:lang w:val="en-US" w:eastAsia="zh-CN" w:bidi="ar-SA"/>
        </w:rPr>
        <w:t>%；本次评价实际指标完成</w:t>
      </w:r>
      <w:r>
        <w:rPr>
          <w:rStyle w:val="11"/>
          <w:rFonts w:hint="eastAsia" w:ascii="Times New Roman" w:hAnsi="Times New Roman" w:eastAsia="仿宋_GB2312" w:cs="Times New Roman"/>
          <w:b w:val="0"/>
          <w:spacing w:val="-4"/>
          <w:kern w:val="2"/>
          <w:sz w:val="32"/>
          <w:szCs w:val="32"/>
          <w:lang w:val="en-US" w:eastAsia="zh-CN" w:bidi="ar-SA"/>
        </w:rPr>
        <w:t>值为</w:t>
      </w:r>
      <w:r>
        <w:rPr>
          <w:rStyle w:val="11"/>
          <w:rFonts w:hint="default" w:ascii="Times New Roman" w:hAnsi="Times New Roman" w:eastAsia="仿宋_GB2312" w:cs="Times New Roman"/>
          <w:b w:val="0"/>
          <w:spacing w:val="-4"/>
          <w:kern w:val="2"/>
          <w:sz w:val="32"/>
          <w:szCs w:val="32"/>
          <w:lang w:val="en-US" w:eastAsia="zh-CN" w:bidi="ar-SA"/>
        </w:rPr>
        <w:t>94.06%，指标完成率100%，得满分。</w:t>
      </w:r>
    </w:p>
    <w:p w14:paraId="4ACD2B4E">
      <w:pPr>
        <w:keepNext w:val="0"/>
        <w:keepLines w:val="0"/>
        <w:pageBreakBefore w:val="0"/>
        <w:numPr>
          <w:ilvl w:val="0"/>
          <w:numId w:val="1"/>
        </w:numPr>
        <w:kinsoku/>
        <w:wordWrap/>
        <w:overflowPunct/>
        <w:topLinePunct w:val="0"/>
        <w:autoSpaceDE/>
        <w:autoSpaceDN/>
        <w:bidi w:val="0"/>
        <w:adjustRightInd/>
        <w:spacing w:line="560" w:lineRule="exact"/>
        <w:ind w:firstLine="567" w:firstLineChars="181"/>
        <w:textAlignment w:val="auto"/>
        <w:rPr>
          <w:rStyle w:val="11"/>
          <w:rFonts w:hint="eastAsia" w:ascii="Times New Roman" w:hAnsi="Times New Roman" w:eastAsia="楷体" w:cs="Times New Roman"/>
          <w:b/>
          <w:bCs w:val="0"/>
          <w:spacing w:val="-4"/>
          <w:sz w:val="32"/>
          <w:szCs w:val="32"/>
          <w:lang w:val="en-US" w:eastAsia="zh-CN"/>
        </w:rPr>
      </w:pPr>
      <w:r>
        <w:rPr>
          <w:rStyle w:val="11"/>
          <w:rFonts w:hint="eastAsia" w:ascii="Times New Roman" w:hAnsi="Times New Roman" w:eastAsia="楷体" w:cs="Times New Roman"/>
          <w:b/>
          <w:bCs w:val="0"/>
          <w:spacing w:val="-4"/>
          <w:sz w:val="32"/>
          <w:szCs w:val="32"/>
          <w:lang w:val="en-US" w:eastAsia="zh-CN"/>
        </w:rPr>
        <w:t>指标十：毕业生就业率</w:t>
      </w:r>
    </w:p>
    <w:p w14:paraId="6D4ABE89">
      <w:pPr>
        <w:pStyle w:val="1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7" w:firstLineChars="200"/>
        <w:textAlignment w:val="auto"/>
        <w:rPr>
          <w:rStyle w:val="11"/>
          <w:rFonts w:hint="default" w:ascii="Times New Roman" w:hAnsi="Times New Roman" w:eastAsia="楷体" w:cs="Times New Roman"/>
          <w:b w:val="0"/>
          <w:bCs/>
          <w:spacing w:val="-4"/>
          <w:sz w:val="32"/>
          <w:szCs w:val="32"/>
          <w:lang w:val="en-US" w:eastAsia="zh-CN"/>
        </w:rPr>
      </w:pPr>
      <w:r>
        <w:rPr>
          <w:rStyle w:val="11"/>
          <w:rFonts w:hint="eastAsia" w:ascii="Times New Roman" w:hAnsi="Times New Roman" w:eastAsia="楷体" w:cs="Times New Roman"/>
          <w:b/>
          <w:bCs w:val="0"/>
          <w:spacing w:val="-4"/>
          <w:sz w:val="32"/>
          <w:szCs w:val="32"/>
          <w:lang w:val="en-US" w:eastAsia="zh-CN"/>
        </w:rPr>
        <w:t xml:space="preserve"> </w:t>
      </w:r>
      <w:r>
        <w:rPr>
          <w:rStyle w:val="11"/>
          <w:rFonts w:hint="default" w:ascii="Times New Roman" w:hAnsi="Times New Roman" w:eastAsia="仿宋_GB2312" w:cs="Times New Roman"/>
          <w:b w:val="0"/>
          <w:spacing w:val="-4"/>
          <w:kern w:val="2"/>
          <w:sz w:val="32"/>
          <w:szCs w:val="32"/>
          <w:lang w:val="en-US" w:eastAsia="zh-CN" w:bidi="ar-SA"/>
        </w:rPr>
        <w:t>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年该指标设定预期指标值为&gt;=85%，分值权重10。根据自治区财政厅绩效监控要求，202</w:t>
      </w:r>
      <w:r>
        <w:rPr>
          <w:rStyle w:val="11"/>
          <w:rFonts w:hint="eastAsia" w:ascii="Times New Roman" w:hAnsi="Times New Roman" w:eastAsia="仿宋_GB2312" w:cs="Times New Roman"/>
          <w:b w:val="0"/>
          <w:spacing w:val="-4"/>
          <w:kern w:val="2"/>
          <w:sz w:val="32"/>
          <w:szCs w:val="32"/>
          <w:lang w:val="en-US" w:eastAsia="zh-CN" w:bidi="ar-SA"/>
        </w:rPr>
        <w:t>5</w:t>
      </w:r>
      <w:r>
        <w:rPr>
          <w:rStyle w:val="11"/>
          <w:rFonts w:hint="default" w:ascii="Times New Roman" w:hAnsi="Times New Roman" w:eastAsia="仿宋_GB2312" w:cs="Times New Roman"/>
          <w:b w:val="0"/>
          <w:spacing w:val="-4"/>
          <w:kern w:val="2"/>
          <w:sz w:val="32"/>
          <w:szCs w:val="32"/>
          <w:lang w:val="en-US" w:eastAsia="zh-CN" w:bidi="ar-SA"/>
        </w:rPr>
        <w:t>年6月进行整体绩效目标绩效监控时，该指标完成值为72.59%，指标完成率</w:t>
      </w:r>
      <w:r>
        <w:rPr>
          <w:rStyle w:val="11"/>
          <w:rFonts w:hint="eastAsia" w:ascii="Times New Roman" w:hAnsi="Times New Roman" w:eastAsia="仿宋_GB2312" w:cs="Times New Roman"/>
          <w:b w:val="0"/>
          <w:spacing w:val="-4"/>
          <w:kern w:val="2"/>
          <w:sz w:val="32"/>
          <w:szCs w:val="32"/>
          <w:lang w:val="en-US" w:eastAsia="zh-CN" w:bidi="ar-SA"/>
        </w:rPr>
        <w:t>85.4</w:t>
      </w:r>
      <w:r>
        <w:rPr>
          <w:rStyle w:val="11"/>
          <w:rFonts w:hint="default" w:ascii="Times New Roman" w:hAnsi="Times New Roman" w:eastAsia="仿宋_GB2312" w:cs="Times New Roman"/>
          <w:b w:val="0"/>
          <w:spacing w:val="-4"/>
          <w:kern w:val="2"/>
          <w:sz w:val="32"/>
          <w:szCs w:val="32"/>
          <w:lang w:val="en-US" w:eastAsia="zh-CN" w:bidi="ar-SA"/>
        </w:rPr>
        <w:t>%；本次评价实际指标完成值95.03%，指标完成率100%，得满分。</w:t>
      </w:r>
    </w:p>
    <w:p w14:paraId="4161C2D7">
      <w:pPr>
        <w:pStyle w:val="14"/>
        <w:numPr>
          <w:ilvl w:val="0"/>
          <w:numId w:val="2"/>
        </w:numPr>
        <w:snapToGrid w:val="0"/>
        <w:spacing w:line="540" w:lineRule="exact"/>
        <w:ind w:firstLineChars="0"/>
        <w:rPr>
          <w:rStyle w:val="11"/>
          <w:rFonts w:ascii="黑体" w:hAnsi="黑体" w:eastAsia="黑体"/>
          <w:b w:val="0"/>
          <w:bCs w:val="0"/>
          <w:spacing w:val="-4"/>
          <w:sz w:val="32"/>
          <w:szCs w:val="32"/>
        </w:rPr>
      </w:pPr>
      <w:r>
        <w:rPr>
          <w:rStyle w:val="11"/>
          <w:rFonts w:hint="eastAsia" w:ascii="黑体" w:hAnsi="黑体" w:eastAsia="黑体"/>
          <w:b w:val="0"/>
          <w:bCs w:val="0"/>
          <w:spacing w:val="-4"/>
          <w:sz w:val="32"/>
          <w:szCs w:val="32"/>
          <w:lang w:eastAsia="zh-CN"/>
        </w:rPr>
        <w:t>评价结论</w:t>
      </w:r>
    </w:p>
    <w:p w14:paraId="18BBAEF5">
      <w:pPr>
        <w:spacing w:line="540" w:lineRule="exact"/>
        <w:ind w:firstLine="564" w:firstLineChars="181"/>
        <w:rPr>
          <w:rStyle w:val="11"/>
          <w:rFonts w:hint="default" w:ascii="仿宋_GB2312" w:hAnsi="楷体" w:eastAsia="仿宋_GB2312" w:cs="Times New Roman"/>
          <w:b w:val="0"/>
          <w:color w:val="auto"/>
          <w:spacing w:val="-4"/>
          <w:sz w:val="32"/>
          <w:szCs w:val="32"/>
          <w:lang w:val="en-US" w:eastAsia="zh-CN"/>
        </w:rPr>
      </w:pPr>
      <w:r>
        <w:rPr>
          <w:rStyle w:val="11"/>
          <w:rFonts w:hint="default" w:ascii="Times New Roman" w:hAnsi="Times New Roman" w:eastAsia="仿宋_GB2312" w:cs="Times New Roman"/>
          <w:b w:val="0"/>
          <w:color w:val="auto"/>
          <w:spacing w:val="-4"/>
          <w:sz w:val="32"/>
          <w:szCs w:val="32"/>
          <w:lang w:val="en-US" w:eastAsia="zh-CN"/>
        </w:rPr>
        <w:t>202</w:t>
      </w:r>
      <w:r>
        <w:rPr>
          <w:rStyle w:val="11"/>
          <w:rFonts w:hint="eastAsia" w:ascii="Times New Roman" w:hAnsi="Times New Roman" w:eastAsia="仿宋_GB2312" w:cs="Times New Roman"/>
          <w:b w:val="0"/>
          <w:color w:val="auto"/>
          <w:spacing w:val="-4"/>
          <w:sz w:val="32"/>
          <w:szCs w:val="32"/>
          <w:lang w:val="en-US" w:eastAsia="zh-CN"/>
        </w:rPr>
        <w:t>5</w:t>
      </w:r>
      <w:r>
        <w:rPr>
          <w:rStyle w:val="11"/>
          <w:rFonts w:hint="default" w:ascii="Times New Roman" w:hAnsi="Times New Roman" w:eastAsia="仿宋_GB2312" w:cs="Times New Roman"/>
          <w:b w:val="0"/>
          <w:color w:val="auto"/>
          <w:spacing w:val="-4"/>
          <w:sz w:val="32"/>
          <w:szCs w:val="32"/>
          <w:lang w:val="en-US" w:eastAsia="zh-CN"/>
        </w:rPr>
        <w:t>年度部门整体支出绩效自评综合得分9</w:t>
      </w:r>
      <w:r>
        <w:rPr>
          <w:rStyle w:val="11"/>
          <w:rFonts w:hint="eastAsia" w:ascii="Times New Roman" w:hAnsi="Times New Roman" w:eastAsia="仿宋_GB2312" w:cs="Times New Roman"/>
          <w:b w:val="0"/>
          <w:color w:val="auto"/>
          <w:spacing w:val="-4"/>
          <w:sz w:val="32"/>
          <w:szCs w:val="32"/>
          <w:lang w:val="en-US" w:eastAsia="zh-CN"/>
        </w:rPr>
        <w:t>7.95</w:t>
      </w:r>
      <w:r>
        <w:rPr>
          <w:rStyle w:val="11"/>
          <w:rFonts w:hint="default" w:ascii="Times New Roman" w:hAnsi="Times New Roman" w:eastAsia="仿宋_GB2312" w:cs="Times New Roman"/>
          <w:b w:val="0"/>
          <w:color w:val="auto"/>
          <w:spacing w:val="-4"/>
          <w:sz w:val="32"/>
          <w:szCs w:val="32"/>
          <w:lang w:val="en-US" w:eastAsia="zh-CN"/>
        </w:rPr>
        <w:t>分，评价结果为“优”。</w:t>
      </w:r>
    </w:p>
    <w:p w14:paraId="65C29355">
      <w:pPr>
        <w:pStyle w:val="14"/>
        <w:numPr>
          <w:ilvl w:val="0"/>
          <w:numId w:val="2"/>
        </w:numPr>
        <w:snapToGrid w:val="0"/>
        <w:spacing w:line="540" w:lineRule="exact"/>
        <w:ind w:firstLineChars="0"/>
        <w:rPr>
          <w:rStyle w:val="11"/>
          <w:rFonts w:ascii="黑体" w:hAnsi="黑体" w:eastAsia="黑体"/>
          <w:b w:val="0"/>
          <w:bCs w:val="0"/>
          <w:spacing w:val="-4"/>
          <w:sz w:val="32"/>
          <w:szCs w:val="32"/>
        </w:rPr>
      </w:pPr>
      <w:r>
        <w:rPr>
          <w:rStyle w:val="11"/>
          <w:rFonts w:hint="eastAsia" w:ascii="黑体" w:hAnsi="黑体" w:eastAsia="黑体"/>
          <w:b w:val="0"/>
          <w:bCs w:val="0"/>
          <w:spacing w:val="-4"/>
          <w:sz w:val="32"/>
          <w:szCs w:val="32"/>
        </w:rPr>
        <w:t>存在的主要问题</w:t>
      </w:r>
      <w:r>
        <w:rPr>
          <w:rStyle w:val="11"/>
          <w:rFonts w:hint="eastAsia" w:ascii="黑体" w:hAnsi="黑体" w:eastAsia="黑体"/>
          <w:b w:val="0"/>
          <w:bCs w:val="0"/>
          <w:spacing w:val="-4"/>
          <w:sz w:val="32"/>
          <w:szCs w:val="32"/>
          <w:lang w:eastAsia="zh-CN"/>
        </w:rPr>
        <w:t>及原因分析</w:t>
      </w:r>
    </w:p>
    <w:p w14:paraId="6CA2D6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1"/>
          <w:rFonts w:hint="default" w:ascii="Times New Roman" w:hAnsi="Times New Roman" w:eastAsia="仿宋_GB2312" w:cs="Times New Roman"/>
          <w:b w:val="0"/>
          <w:bCs/>
          <w:spacing w:val="-4"/>
          <w:kern w:val="2"/>
          <w:sz w:val="32"/>
          <w:szCs w:val="32"/>
          <w:lang w:bidi="ar-SA"/>
        </w:rPr>
      </w:pPr>
      <w:r>
        <w:rPr>
          <w:rStyle w:val="11"/>
          <w:rFonts w:hint="eastAsia" w:ascii="Times New Roman" w:hAnsi="Times New Roman" w:eastAsia="仿宋_GB2312" w:cs="Times New Roman"/>
          <w:b w:val="0"/>
          <w:bCs/>
          <w:spacing w:val="-4"/>
          <w:kern w:val="2"/>
          <w:sz w:val="32"/>
          <w:szCs w:val="32"/>
          <w:lang w:eastAsia="zh-CN" w:bidi="ar-SA"/>
        </w:rPr>
        <w:t>（一）</w:t>
      </w:r>
      <w:r>
        <w:rPr>
          <w:rStyle w:val="11"/>
          <w:rFonts w:hint="default" w:ascii="Times New Roman" w:hAnsi="Times New Roman" w:eastAsia="仿宋_GB2312" w:cs="Times New Roman"/>
          <w:b w:val="0"/>
          <w:bCs/>
          <w:spacing w:val="-4"/>
          <w:kern w:val="2"/>
          <w:sz w:val="32"/>
          <w:szCs w:val="32"/>
          <w:lang w:bidi="ar-SA"/>
        </w:rPr>
        <w:t>预算绩效管理制度体系仍不够健全。目前尚未依据本校实际情况构建一套专门的预算绩效管理制度体系，而是简单地套用中央和自治区层面的通用性规定，导致制度缺乏针对性和可操作性。受制度体系不完善影响，业务部门对预算绩效管理的重视程度不够，预算执行刚性约束不足、规范化水平不高</w:t>
      </w:r>
      <w:r>
        <w:rPr>
          <w:rStyle w:val="11"/>
          <w:rFonts w:hint="eastAsia" w:ascii="Times New Roman" w:hAnsi="Times New Roman" w:eastAsia="仿宋_GB2312" w:cs="Times New Roman"/>
          <w:b w:val="0"/>
          <w:bCs/>
          <w:spacing w:val="-4"/>
          <w:kern w:val="2"/>
          <w:sz w:val="32"/>
          <w:szCs w:val="32"/>
          <w:lang w:eastAsia="zh-CN" w:bidi="ar-SA"/>
        </w:rPr>
        <w:t>，</w:t>
      </w:r>
      <w:r>
        <w:rPr>
          <w:rStyle w:val="11"/>
          <w:rFonts w:hint="default" w:ascii="Times New Roman" w:hAnsi="Times New Roman" w:eastAsia="仿宋_GB2312" w:cs="Times New Roman"/>
          <w:b w:val="0"/>
          <w:bCs/>
          <w:spacing w:val="-4"/>
          <w:kern w:val="2"/>
          <w:sz w:val="32"/>
          <w:szCs w:val="32"/>
          <w:lang w:bidi="ar-SA"/>
        </w:rPr>
        <w:t>整体预算管理效能未能充分发挥。</w:t>
      </w:r>
    </w:p>
    <w:p w14:paraId="10840DD4">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default"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（二）部分项目绩效指标实际完成情况与预期目标存在差距。业务部门在设定绩效目标时偏于保守，未合理设置提升空间，致使绩效目标缺乏必要的挑战性与激励导向作用。</w:t>
      </w:r>
    </w:p>
    <w:p w14:paraId="168E566D">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default" w:ascii="Times New Roman" w:hAnsi="Times New Roman" w:eastAsia="仿宋_GB2312" w:cs="Times New Roman"/>
          <w:b w:val="0"/>
          <w:bCs w:val="0"/>
          <w:spacing w:val="-4"/>
          <w:sz w:val="32"/>
          <w:szCs w:val="32"/>
        </w:rPr>
      </w:pPr>
      <w:r>
        <w:rPr>
          <w:rStyle w:val="11"/>
          <w:rFonts w:hint="default" w:ascii="Times New Roman" w:hAnsi="Times New Roman" w:eastAsia="仿宋_GB2312" w:cs="Times New Roman"/>
          <w:b w:val="0"/>
          <w:spacing w:val="-4"/>
          <w:sz w:val="32"/>
          <w:szCs w:val="32"/>
          <w:lang w:val="en-US" w:eastAsia="zh-CN"/>
        </w:rPr>
        <w:t>（三）项目全过程监督管理机制</w:t>
      </w:r>
      <w:r>
        <w:rPr>
          <w:rStyle w:val="11"/>
          <w:rFonts w:hint="eastAsia" w:ascii="Times New Roman" w:hAnsi="Times New Roman" w:eastAsia="仿宋_GB2312" w:cs="Times New Roman"/>
          <w:b w:val="0"/>
          <w:spacing w:val="-4"/>
          <w:sz w:val="32"/>
          <w:szCs w:val="32"/>
          <w:lang w:val="en-US" w:eastAsia="zh-CN"/>
        </w:rPr>
        <w:t>仍</w:t>
      </w:r>
      <w:r>
        <w:rPr>
          <w:rStyle w:val="11"/>
          <w:rFonts w:hint="default" w:ascii="Times New Roman" w:hAnsi="Times New Roman" w:eastAsia="仿宋_GB2312" w:cs="Times New Roman"/>
          <w:b w:val="0"/>
          <w:spacing w:val="-4"/>
          <w:sz w:val="32"/>
          <w:szCs w:val="32"/>
          <w:lang w:val="en-US" w:eastAsia="zh-CN"/>
        </w:rPr>
        <w:t>需</w:t>
      </w:r>
      <w:r>
        <w:rPr>
          <w:rStyle w:val="11"/>
          <w:rFonts w:hint="eastAsia" w:ascii="Times New Roman" w:hAnsi="Times New Roman" w:eastAsia="仿宋_GB2312" w:cs="Times New Roman"/>
          <w:b w:val="0"/>
          <w:spacing w:val="-4"/>
          <w:sz w:val="32"/>
          <w:szCs w:val="32"/>
          <w:lang w:val="en-US" w:eastAsia="zh-CN"/>
        </w:rPr>
        <w:t>完善</w:t>
      </w:r>
      <w:r>
        <w:rPr>
          <w:rStyle w:val="11"/>
          <w:rFonts w:hint="default" w:ascii="Times New Roman" w:hAnsi="Times New Roman" w:eastAsia="仿宋_GB2312" w:cs="Times New Roman"/>
          <w:b w:val="0"/>
          <w:spacing w:val="-4"/>
          <w:sz w:val="32"/>
          <w:szCs w:val="32"/>
          <w:lang w:val="en-US" w:eastAsia="zh-CN"/>
        </w:rPr>
        <w:t>。在预算执行过程中存在重资金轻管理的问题，虽然资金支出进度得到有效跟踪，但对项目具体实施内容、阶段性成果等关键环节缺乏动态监管，导致项目执行过程与经费使用脱节，预算执行数据难以真实反映项目实际进展和成效，存在“重支出进度、轻实施质量”的管理短板。</w:t>
      </w:r>
    </w:p>
    <w:p w14:paraId="60C6A8BC">
      <w:pPr>
        <w:pStyle w:val="14"/>
        <w:numPr>
          <w:ilvl w:val="0"/>
          <w:numId w:val="2"/>
        </w:numPr>
        <w:snapToGrid w:val="0"/>
        <w:spacing w:line="540" w:lineRule="exact"/>
        <w:ind w:firstLineChars="0"/>
        <w:rPr>
          <w:rStyle w:val="11"/>
          <w:rFonts w:ascii="黑体" w:hAnsi="黑体" w:eastAsia="黑体"/>
          <w:b w:val="0"/>
          <w:bCs w:val="0"/>
          <w:spacing w:val="-4"/>
          <w:sz w:val="32"/>
          <w:szCs w:val="32"/>
        </w:rPr>
      </w:pPr>
      <w:r>
        <w:rPr>
          <w:rStyle w:val="11"/>
          <w:rFonts w:hint="eastAsia" w:ascii="黑体" w:hAnsi="黑体" w:eastAsia="黑体"/>
          <w:b w:val="0"/>
          <w:bCs w:val="0"/>
          <w:spacing w:val="-4"/>
          <w:sz w:val="32"/>
          <w:szCs w:val="32"/>
        </w:rPr>
        <w:t>改进措施和建议</w:t>
      </w:r>
    </w:p>
    <w:p w14:paraId="746AD545">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eastAsia" w:ascii="Times New Roman" w:hAnsi="Times New Roman" w:eastAsia="仿宋_GB2312" w:cs="Times New Roman"/>
          <w:b w:val="0"/>
          <w:spacing w:val="-4"/>
          <w:sz w:val="32"/>
          <w:szCs w:val="32"/>
          <w:lang w:val="en-US" w:eastAsia="zh-CN"/>
        </w:rPr>
      </w:pPr>
      <w:r>
        <w:rPr>
          <w:rStyle w:val="11"/>
          <w:rFonts w:hint="default" w:ascii="Times New Roman" w:hAnsi="Times New Roman" w:eastAsia="仿宋_GB2312" w:cs="Times New Roman"/>
          <w:b w:val="0"/>
          <w:spacing w:val="-4"/>
          <w:sz w:val="32"/>
          <w:szCs w:val="32"/>
          <w:lang w:val="en-US" w:eastAsia="zh-CN"/>
        </w:rPr>
        <w:t>（一）</w:t>
      </w:r>
      <w:r>
        <w:rPr>
          <w:rStyle w:val="11"/>
          <w:rFonts w:hint="eastAsia" w:ascii="Times New Roman" w:hAnsi="Times New Roman" w:eastAsia="仿宋_GB2312" w:cs="Times New Roman"/>
          <w:b w:val="0"/>
          <w:spacing w:val="-4"/>
          <w:sz w:val="32"/>
          <w:szCs w:val="32"/>
          <w:lang w:val="en-US" w:eastAsia="zh-CN"/>
        </w:rPr>
        <w:t>建立健全预算绩效管理制度体系。结合办学特色和业务实际，拟制定《预算绩效管理办法》，明确绩效管理职责分工、工作流程和评价标准，</w:t>
      </w:r>
      <w:r>
        <w:rPr>
          <w:rStyle w:val="11"/>
          <w:rFonts w:hint="default" w:ascii="Times New Roman" w:hAnsi="Times New Roman" w:eastAsia="仿宋_GB2312" w:cs="Times New Roman"/>
          <w:b w:val="0"/>
          <w:spacing w:val="-4"/>
          <w:sz w:val="32"/>
          <w:szCs w:val="32"/>
          <w:lang w:val="en-US" w:eastAsia="zh-CN"/>
        </w:rPr>
        <w:t>定期对预算和绩效目标执行情况跟踪</w:t>
      </w:r>
      <w:r>
        <w:rPr>
          <w:rStyle w:val="11"/>
          <w:rFonts w:hint="eastAsia" w:ascii="Times New Roman" w:hAnsi="Times New Roman" w:eastAsia="仿宋_GB2312" w:cs="Times New Roman"/>
          <w:b w:val="0"/>
          <w:spacing w:val="-4"/>
          <w:sz w:val="32"/>
          <w:szCs w:val="32"/>
          <w:lang w:val="en-US" w:eastAsia="zh-CN"/>
        </w:rPr>
        <w:t>、</w:t>
      </w:r>
      <w:r>
        <w:rPr>
          <w:rStyle w:val="11"/>
          <w:rFonts w:hint="default" w:ascii="Times New Roman" w:hAnsi="Times New Roman" w:eastAsia="仿宋_GB2312" w:cs="Times New Roman"/>
          <w:b w:val="0"/>
          <w:spacing w:val="-4"/>
          <w:sz w:val="32"/>
          <w:szCs w:val="32"/>
          <w:lang w:val="en-US" w:eastAsia="zh-CN"/>
        </w:rPr>
        <w:t>监控</w:t>
      </w:r>
      <w:r>
        <w:rPr>
          <w:rStyle w:val="11"/>
          <w:rFonts w:hint="eastAsia" w:ascii="Times New Roman" w:hAnsi="Times New Roman" w:eastAsia="仿宋_GB2312" w:cs="Times New Roman"/>
          <w:b w:val="0"/>
          <w:spacing w:val="-4"/>
          <w:sz w:val="32"/>
          <w:szCs w:val="32"/>
          <w:lang w:val="en-US" w:eastAsia="zh-CN"/>
        </w:rPr>
        <w:t>，形成覆盖绩效目标设定、运行监控、评价实施、结果应用的全链条管理制度。同时，建立“注重绩效导向、强调成本效益、硬化责任约束”的预算管理新机制，夯实预算绩效管理责任主体和主体责任，提高资金使用效率。</w:t>
      </w:r>
    </w:p>
    <w:p w14:paraId="72A6E321">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hint="eastAsia" w:ascii="Times New Roman" w:hAnsi="Times New Roman" w:eastAsia="仿宋_GB2312" w:cs="Times New Roman"/>
          <w:b w:val="0"/>
          <w:spacing w:val="-4"/>
          <w:sz w:val="32"/>
          <w:szCs w:val="32"/>
          <w:lang w:val="en-US" w:eastAsia="zh-CN"/>
        </w:rPr>
      </w:pPr>
      <w:r>
        <w:rPr>
          <w:rStyle w:val="11"/>
          <w:rFonts w:hint="eastAsia" w:ascii="Times New Roman" w:hAnsi="Times New Roman" w:eastAsia="仿宋_GB2312" w:cs="Times New Roman"/>
          <w:b w:val="0"/>
          <w:spacing w:val="-4"/>
          <w:sz w:val="32"/>
          <w:szCs w:val="32"/>
          <w:lang w:val="en-US" w:eastAsia="zh-CN"/>
        </w:rPr>
        <w:t>（二）科学设定绩效目标，提升目标引领效能。建立绩效目标论证机制，充分考量学校发展规划、学科建设和行业对标情况，合理确定指标基准值和挑战值。引入动态调整机制，根据政策变化、事业发展需求等因素适时优化目标，避免目标设定过低或过高。加强绩效目标培训宣贯，提升业务部门目标管理能力，推动绩效目标从“任务导向”向“价值导向”转变。</w:t>
      </w:r>
    </w:p>
    <w:p w14:paraId="1790155E">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1"/>
          <w:rFonts w:ascii="仿宋_GB2312" w:hAnsi="仿宋" w:eastAsia="仿宋_GB2312"/>
          <w:b w:val="0"/>
          <w:spacing w:val="-4"/>
          <w:sz w:val="32"/>
          <w:szCs w:val="32"/>
        </w:rPr>
      </w:pPr>
      <w:r>
        <w:rPr>
          <w:rStyle w:val="11"/>
          <w:rFonts w:hint="default" w:ascii="Times New Roman" w:hAnsi="Times New Roman" w:eastAsia="仿宋_GB2312" w:cs="Times New Roman"/>
          <w:b w:val="0"/>
          <w:spacing w:val="-4"/>
          <w:sz w:val="32"/>
          <w:szCs w:val="32"/>
          <w:lang w:val="en-US" w:eastAsia="zh-CN"/>
        </w:rPr>
        <w:t>（三）强化</w:t>
      </w:r>
      <w:r>
        <w:rPr>
          <w:rStyle w:val="11"/>
          <w:rFonts w:hint="eastAsia" w:ascii="Times New Roman" w:hAnsi="Times New Roman" w:eastAsia="仿宋_GB2312" w:cs="Times New Roman"/>
          <w:b w:val="0"/>
          <w:spacing w:val="-4"/>
          <w:sz w:val="32"/>
          <w:szCs w:val="32"/>
          <w:lang w:val="en-US" w:eastAsia="zh-CN"/>
        </w:rPr>
        <w:t>项目全过程监督管理，提升预算执行质量。构建“预算编制—执行监控—绩效评价—结果反馈”闭环管理机制。重点构建项目全周期动态监控模块，在跟踪资金执行进度的同时，实时采集项目实施的关键节点数据、阶段性成果等绩效信息，实现经费使用与项目实施的双维度监管。强化激励约束机制，对绩效优秀的项目优先保障、加大投入，对绩效不佳的项目压减预算、限期整改。</w:t>
      </w:r>
    </w:p>
    <w:sectPr>
      <w:footerReference r:id="rId9"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340C10-A48F-4DCC-A2C4-F7CF42C88F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83C92C9E-D8EA-4AAD-B7EC-0E9560C99735}"/>
  </w:font>
  <w:font w:name="楷体_GB2312">
    <w:panose1 w:val="02010609030101010101"/>
    <w:charset w:val="86"/>
    <w:family w:val="auto"/>
    <w:pitch w:val="default"/>
    <w:sig w:usb0="00000001" w:usb1="080E0000" w:usb2="00000000" w:usb3="00000000" w:csb0="00040000" w:csb1="00000000"/>
    <w:embedRegular r:id="rId3" w:fontKey="{0AB36CBD-3C5C-41DD-B275-C92C0D2F3B7D}"/>
  </w:font>
  <w:font w:name="华文中宋">
    <w:panose1 w:val="02010600040101010101"/>
    <w:charset w:val="86"/>
    <w:family w:val="auto"/>
    <w:pitch w:val="default"/>
    <w:sig w:usb0="00000287" w:usb1="080F0000" w:usb2="00000000" w:usb3="00000000" w:csb0="0004009F" w:csb1="DFD70000"/>
    <w:embedRegular r:id="rId4" w:fontKey="{F4E61054-475F-4BC4-87D8-1274E0A2A0EB}"/>
  </w:font>
  <w:font w:name="方正小标宋_GBK">
    <w:panose1 w:val="02000000000000000000"/>
    <w:charset w:val="86"/>
    <w:family w:val="script"/>
    <w:pitch w:val="default"/>
    <w:sig w:usb0="A00002BF" w:usb1="38CF7CFA" w:usb2="00082016" w:usb3="00000000" w:csb0="00040001" w:csb1="00000000"/>
    <w:embedRegular r:id="rId5" w:fontKey="{014C9D44-A4F6-4695-8627-1BCA6B17E800}"/>
  </w:font>
  <w:font w:name="楷体">
    <w:panose1 w:val="02010609060101010101"/>
    <w:charset w:val="86"/>
    <w:family w:val="modern"/>
    <w:pitch w:val="default"/>
    <w:sig w:usb0="800002BF" w:usb1="38CF7CFA" w:usb2="00000016" w:usb3="00000000" w:csb0="00040001" w:csb1="00000000"/>
    <w:embedRegular r:id="rId6" w:fontKey="{9133065E-BCEA-4203-B5B2-6EC393C15A5A}"/>
  </w:font>
  <w:font w:name="仿宋">
    <w:panose1 w:val="02010609060101010101"/>
    <w:charset w:val="86"/>
    <w:family w:val="modern"/>
    <w:pitch w:val="default"/>
    <w:sig w:usb0="800002BF" w:usb1="38CF7CFA" w:usb2="00000016" w:usb3="00000000" w:csb0="00040001" w:csb1="00000000"/>
    <w:embedRegular r:id="rId7" w:fontKey="{56654FB8-DA48-4E52-985F-C0FA808F6B93}"/>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8FA02">
    <w:pPr>
      <w:pStyle w:val="5"/>
    </w:pPr>
    <w:bookmarkStart w:id="31" w:name="_GoBack"/>
    <w:bookmarkEnd w:id="3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8987B">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954AB">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8EE3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FD6967">
                          <w:pPr>
                            <w:pStyle w:val="5"/>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5FD6967">
                    <w:pPr>
                      <w:pStyle w:val="5"/>
                    </w:pPr>
                    <w:r>
                      <w:fldChar w:fldCharType="begin"/>
                    </w:r>
                    <w:r>
                      <w:instrText xml:space="preserve"> PAGE  \* MERGEFORMAT </w:instrText>
                    </w:r>
                    <w:r>
                      <w:fldChar w:fldCharType="separate"/>
                    </w:r>
                    <w:r>
                      <w:t>- 25 -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BF77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33F33">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9035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CA518"/>
    <w:multiLevelType w:val="singleLevel"/>
    <w:tmpl w:val="098CA518"/>
    <w:lvl w:ilvl="0" w:tentative="0">
      <w:start w:val="10"/>
      <w:numFmt w:val="chineseCounting"/>
      <w:suff w:val="nothing"/>
      <w:lvlText w:val="（%1）"/>
      <w:lvlJc w:val="left"/>
      <w:rPr>
        <w:rFonts w:hint="eastAsia"/>
      </w:r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2NWM0N2Y3NjJlOTU3N2I4MjMxOTQ1MTVkMDkxZmIifQ=="/>
    <w:docVar w:name="KSO_WPS_MARK_KEY" w:val="40e95650-004b-4697-ae2b-25bffeeac740"/>
  </w:docVars>
  <w:rsids>
    <w:rsidRoot w:val="00633862"/>
    <w:rsid w:val="000D3AFA"/>
    <w:rsid w:val="00191BA3"/>
    <w:rsid w:val="0022744B"/>
    <w:rsid w:val="005B1250"/>
    <w:rsid w:val="00633862"/>
    <w:rsid w:val="006C5BED"/>
    <w:rsid w:val="00702D4A"/>
    <w:rsid w:val="007115C8"/>
    <w:rsid w:val="007D7D61"/>
    <w:rsid w:val="007E1AC4"/>
    <w:rsid w:val="00867FFD"/>
    <w:rsid w:val="0097614B"/>
    <w:rsid w:val="009D0EDD"/>
    <w:rsid w:val="00AA5126"/>
    <w:rsid w:val="00AD16CD"/>
    <w:rsid w:val="00CD2F35"/>
    <w:rsid w:val="00DB1085"/>
    <w:rsid w:val="00EA14FA"/>
    <w:rsid w:val="00F84215"/>
    <w:rsid w:val="010E0C0C"/>
    <w:rsid w:val="01477CD1"/>
    <w:rsid w:val="016D0077"/>
    <w:rsid w:val="01E376AC"/>
    <w:rsid w:val="02355837"/>
    <w:rsid w:val="02610413"/>
    <w:rsid w:val="02777BFD"/>
    <w:rsid w:val="02A11C60"/>
    <w:rsid w:val="02F163A2"/>
    <w:rsid w:val="02FE786C"/>
    <w:rsid w:val="03341650"/>
    <w:rsid w:val="03615C9F"/>
    <w:rsid w:val="0367585D"/>
    <w:rsid w:val="036F2FCB"/>
    <w:rsid w:val="03822CFE"/>
    <w:rsid w:val="039B4330"/>
    <w:rsid w:val="03B2599D"/>
    <w:rsid w:val="043C5F8E"/>
    <w:rsid w:val="044E0E32"/>
    <w:rsid w:val="04635FDA"/>
    <w:rsid w:val="049941F3"/>
    <w:rsid w:val="04A60F90"/>
    <w:rsid w:val="04D2103C"/>
    <w:rsid w:val="04D550AF"/>
    <w:rsid w:val="04F032A2"/>
    <w:rsid w:val="055977C5"/>
    <w:rsid w:val="05746676"/>
    <w:rsid w:val="05B16FE4"/>
    <w:rsid w:val="05F60DB3"/>
    <w:rsid w:val="06B83B39"/>
    <w:rsid w:val="06DE29E2"/>
    <w:rsid w:val="06E15F8D"/>
    <w:rsid w:val="070044B1"/>
    <w:rsid w:val="076C043D"/>
    <w:rsid w:val="07702E6D"/>
    <w:rsid w:val="07A86AAB"/>
    <w:rsid w:val="07C65825"/>
    <w:rsid w:val="08AC79F1"/>
    <w:rsid w:val="09067414"/>
    <w:rsid w:val="09170A81"/>
    <w:rsid w:val="09ED4C49"/>
    <w:rsid w:val="0AAC2C0F"/>
    <w:rsid w:val="0AC27E84"/>
    <w:rsid w:val="0B0F5B25"/>
    <w:rsid w:val="0B175B42"/>
    <w:rsid w:val="0B1A381C"/>
    <w:rsid w:val="0BD256C9"/>
    <w:rsid w:val="0C154760"/>
    <w:rsid w:val="0C662A91"/>
    <w:rsid w:val="0D3F0613"/>
    <w:rsid w:val="0D617282"/>
    <w:rsid w:val="0F3B095E"/>
    <w:rsid w:val="0F661726"/>
    <w:rsid w:val="0F772EC6"/>
    <w:rsid w:val="0F877334"/>
    <w:rsid w:val="10182B28"/>
    <w:rsid w:val="103D6613"/>
    <w:rsid w:val="109160DD"/>
    <w:rsid w:val="10947BCD"/>
    <w:rsid w:val="114B3E5E"/>
    <w:rsid w:val="115E01DA"/>
    <w:rsid w:val="115E3FEE"/>
    <w:rsid w:val="116B384E"/>
    <w:rsid w:val="1179362D"/>
    <w:rsid w:val="1193356B"/>
    <w:rsid w:val="11DD16C8"/>
    <w:rsid w:val="13075171"/>
    <w:rsid w:val="130A20A3"/>
    <w:rsid w:val="13345E52"/>
    <w:rsid w:val="13352CE1"/>
    <w:rsid w:val="13E07D60"/>
    <w:rsid w:val="14EB545A"/>
    <w:rsid w:val="150177FB"/>
    <w:rsid w:val="150A66AF"/>
    <w:rsid w:val="15875F52"/>
    <w:rsid w:val="15966A1F"/>
    <w:rsid w:val="15B028DA"/>
    <w:rsid w:val="15B73666"/>
    <w:rsid w:val="15C42D02"/>
    <w:rsid w:val="168A2EA6"/>
    <w:rsid w:val="16AD2CA7"/>
    <w:rsid w:val="178F5663"/>
    <w:rsid w:val="17D5194F"/>
    <w:rsid w:val="180A4FDB"/>
    <w:rsid w:val="18297BB3"/>
    <w:rsid w:val="1840056E"/>
    <w:rsid w:val="18772827"/>
    <w:rsid w:val="18B9619D"/>
    <w:rsid w:val="19023B58"/>
    <w:rsid w:val="192177D8"/>
    <w:rsid w:val="1957678C"/>
    <w:rsid w:val="195D472D"/>
    <w:rsid w:val="196A001E"/>
    <w:rsid w:val="198331C0"/>
    <w:rsid w:val="19A81CB4"/>
    <w:rsid w:val="19C92FDD"/>
    <w:rsid w:val="19DB061A"/>
    <w:rsid w:val="19E576EB"/>
    <w:rsid w:val="19FF664E"/>
    <w:rsid w:val="1A091F78"/>
    <w:rsid w:val="1A092647"/>
    <w:rsid w:val="1A613215"/>
    <w:rsid w:val="1A6D6D72"/>
    <w:rsid w:val="1AEB4D61"/>
    <w:rsid w:val="1B811858"/>
    <w:rsid w:val="1BCF2EAD"/>
    <w:rsid w:val="1C230AC0"/>
    <w:rsid w:val="1C485D0F"/>
    <w:rsid w:val="1C615CEF"/>
    <w:rsid w:val="1CDA72AF"/>
    <w:rsid w:val="1D632B53"/>
    <w:rsid w:val="1D7602A9"/>
    <w:rsid w:val="1DAD425D"/>
    <w:rsid w:val="1DC83D3D"/>
    <w:rsid w:val="1E29348B"/>
    <w:rsid w:val="1E613949"/>
    <w:rsid w:val="1E83411B"/>
    <w:rsid w:val="1EAE0073"/>
    <w:rsid w:val="1F195A2C"/>
    <w:rsid w:val="1FAE3D35"/>
    <w:rsid w:val="1FD90B7B"/>
    <w:rsid w:val="1FE651E1"/>
    <w:rsid w:val="20361E67"/>
    <w:rsid w:val="205102FB"/>
    <w:rsid w:val="20762FC4"/>
    <w:rsid w:val="212C60E2"/>
    <w:rsid w:val="216534CC"/>
    <w:rsid w:val="21DE15EF"/>
    <w:rsid w:val="227B5090"/>
    <w:rsid w:val="22D35FD4"/>
    <w:rsid w:val="23021A8B"/>
    <w:rsid w:val="2320540D"/>
    <w:rsid w:val="236E0539"/>
    <w:rsid w:val="23881C13"/>
    <w:rsid w:val="23E6478B"/>
    <w:rsid w:val="2422471A"/>
    <w:rsid w:val="246B4C91"/>
    <w:rsid w:val="24A85EE5"/>
    <w:rsid w:val="24DB72C2"/>
    <w:rsid w:val="25A86641"/>
    <w:rsid w:val="25DD6F86"/>
    <w:rsid w:val="25F62593"/>
    <w:rsid w:val="261B47DF"/>
    <w:rsid w:val="274C129A"/>
    <w:rsid w:val="276460F3"/>
    <w:rsid w:val="27660FAF"/>
    <w:rsid w:val="277166D1"/>
    <w:rsid w:val="277B4318"/>
    <w:rsid w:val="27B7194D"/>
    <w:rsid w:val="27E37B45"/>
    <w:rsid w:val="280600C8"/>
    <w:rsid w:val="28081174"/>
    <w:rsid w:val="280C7A48"/>
    <w:rsid w:val="28481571"/>
    <w:rsid w:val="28722F64"/>
    <w:rsid w:val="289B5D70"/>
    <w:rsid w:val="28D5110C"/>
    <w:rsid w:val="28D728F5"/>
    <w:rsid w:val="290A1EBC"/>
    <w:rsid w:val="29275693"/>
    <w:rsid w:val="295C3E05"/>
    <w:rsid w:val="296B40D0"/>
    <w:rsid w:val="29980ADF"/>
    <w:rsid w:val="29B460DC"/>
    <w:rsid w:val="29D532D8"/>
    <w:rsid w:val="29E74DB9"/>
    <w:rsid w:val="2A052E31"/>
    <w:rsid w:val="2A0B6FEB"/>
    <w:rsid w:val="2A2A3694"/>
    <w:rsid w:val="2A6B1740"/>
    <w:rsid w:val="2AB71864"/>
    <w:rsid w:val="2AD30362"/>
    <w:rsid w:val="2B161A0E"/>
    <w:rsid w:val="2B1D67DB"/>
    <w:rsid w:val="2B2D4A4E"/>
    <w:rsid w:val="2B9D19F7"/>
    <w:rsid w:val="2BA87CB0"/>
    <w:rsid w:val="2BCA3DF7"/>
    <w:rsid w:val="2BFA5278"/>
    <w:rsid w:val="2C3F44FD"/>
    <w:rsid w:val="2C792587"/>
    <w:rsid w:val="2C8903AA"/>
    <w:rsid w:val="2CE43832"/>
    <w:rsid w:val="2D727090"/>
    <w:rsid w:val="2DAA6B58"/>
    <w:rsid w:val="2E4A4A48"/>
    <w:rsid w:val="2E6D369B"/>
    <w:rsid w:val="2EC47DA4"/>
    <w:rsid w:val="2ECD42C1"/>
    <w:rsid w:val="2F8715FA"/>
    <w:rsid w:val="2FB43990"/>
    <w:rsid w:val="2FC040E2"/>
    <w:rsid w:val="30143D58"/>
    <w:rsid w:val="30240D0F"/>
    <w:rsid w:val="30760C45"/>
    <w:rsid w:val="308158E7"/>
    <w:rsid w:val="309817B5"/>
    <w:rsid w:val="30A86679"/>
    <w:rsid w:val="31505F30"/>
    <w:rsid w:val="3177520D"/>
    <w:rsid w:val="3186310A"/>
    <w:rsid w:val="31BE4EFE"/>
    <w:rsid w:val="31C7249B"/>
    <w:rsid w:val="31FB7654"/>
    <w:rsid w:val="32565D7D"/>
    <w:rsid w:val="32633D3E"/>
    <w:rsid w:val="336E47B8"/>
    <w:rsid w:val="337D2302"/>
    <w:rsid w:val="33935522"/>
    <w:rsid w:val="33DE0EF4"/>
    <w:rsid w:val="3416678C"/>
    <w:rsid w:val="34486A39"/>
    <w:rsid w:val="34C13400"/>
    <w:rsid w:val="34F32864"/>
    <w:rsid w:val="35386E11"/>
    <w:rsid w:val="35612ABD"/>
    <w:rsid w:val="36A91D74"/>
    <w:rsid w:val="372B4B9D"/>
    <w:rsid w:val="375B2943"/>
    <w:rsid w:val="3760070D"/>
    <w:rsid w:val="37983B97"/>
    <w:rsid w:val="38086A4E"/>
    <w:rsid w:val="38C32119"/>
    <w:rsid w:val="38EE054F"/>
    <w:rsid w:val="39440A0C"/>
    <w:rsid w:val="398443D3"/>
    <w:rsid w:val="39A60AF6"/>
    <w:rsid w:val="3AA12D62"/>
    <w:rsid w:val="3B2319C9"/>
    <w:rsid w:val="3B5D5890"/>
    <w:rsid w:val="3BA6683D"/>
    <w:rsid w:val="3BC431AC"/>
    <w:rsid w:val="3C012639"/>
    <w:rsid w:val="3DA52B6A"/>
    <w:rsid w:val="3E833FCF"/>
    <w:rsid w:val="3EE3321B"/>
    <w:rsid w:val="3EE93EED"/>
    <w:rsid w:val="3F177A97"/>
    <w:rsid w:val="3FEC0F24"/>
    <w:rsid w:val="3FF57BF1"/>
    <w:rsid w:val="3FFB279E"/>
    <w:rsid w:val="40EF78AD"/>
    <w:rsid w:val="40FE4130"/>
    <w:rsid w:val="41590DEA"/>
    <w:rsid w:val="416C231C"/>
    <w:rsid w:val="41C31810"/>
    <w:rsid w:val="41D659E7"/>
    <w:rsid w:val="42614729"/>
    <w:rsid w:val="426538B5"/>
    <w:rsid w:val="428264AA"/>
    <w:rsid w:val="428A15BF"/>
    <w:rsid w:val="429A10B4"/>
    <w:rsid w:val="42BB7663"/>
    <w:rsid w:val="432A3936"/>
    <w:rsid w:val="434765EB"/>
    <w:rsid w:val="43A3164E"/>
    <w:rsid w:val="43C43532"/>
    <w:rsid w:val="44332E1A"/>
    <w:rsid w:val="44692B43"/>
    <w:rsid w:val="44BF2CE3"/>
    <w:rsid w:val="44BF6C07"/>
    <w:rsid w:val="44C84166"/>
    <w:rsid w:val="454149E0"/>
    <w:rsid w:val="45A95FF7"/>
    <w:rsid w:val="46096996"/>
    <w:rsid w:val="462C7B1B"/>
    <w:rsid w:val="46BF2EEE"/>
    <w:rsid w:val="46FD57C4"/>
    <w:rsid w:val="47013FF5"/>
    <w:rsid w:val="471B5DAE"/>
    <w:rsid w:val="473F27AB"/>
    <w:rsid w:val="478E39F4"/>
    <w:rsid w:val="484A2C8B"/>
    <w:rsid w:val="48500FEB"/>
    <w:rsid w:val="48CA2EC9"/>
    <w:rsid w:val="49284D7B"/>
    <w:rsid w:val="49543DC1"/>
    <w:rsid w:val="499E67AF"/>
    <w:rsid w:val="4A0F39E7"/>
    <w:rsid w:val="4A8C30E7"/>
    <w:rsid w:val="4B364032"/>
    <w:rsid w:val="4B3B68BB"/>
    <w:rsid w:val="4B443785"/>
    <w:rsid w:val="4B537C75"/>
    <w:rsid w:val="4B5F22B2"/>
    <w:rsid w:val="4B763FE4"/>
    <w:rsid w:val="4C431ECB"/>
    <w:rsid w:val="4CC33C9F"/>
    <w:rsid w:val="4CDF1FD4"/>
    <w:rsid w:val="4DC93363"/>
    <w:rsid w:val="4E760D0B"/>
    <w:rsid w:val="4E8F65E3"/>
    <w:rsid w:val="4EC80245"/>
    <w:rsid w:val="4ED65AC3"/>
    <w:rsid w:val="4EE33F7B"/>
    <w:rsid w:val="4F270AD2"/>
    <w:rsid w:val="4F596A69"/>
    <w:rsid w:val="4F8E6612"/>
    <w:rsid w:val="4F9A0268"/>
    <w:rsid w:val="4FB5406C"/>
    <w:rsid w:val="4FF361FE"/>
    <w:rsid w:val="5001570E"/>
    <w:rsid w:val="50063DD3"/>
    <w:rsid w:val="500876B4"/>
    <w:rsid w:val="505863A4"/>
    <w:rsid w:val="50591CBD"/>
    <w:rsid w:val="50A240F7"/>
    <w:rsid w:val="512C3F29"/>
    <w:rsid w:val="51971C1E"/>
    <w:rsid w:val="51FF2E33"/>
    <w:rsid w:val="525877BC"/>
    <w:rsid w:val="5272504D"/>
    <w:rsid w:val="52B0193D"/>
    <w:rsid w:val="52CA50F4"/>
    <w:rsid w:val="52DA15FD"/>
    <w:rsid w:val="53A45630"/>
    <w:rsid w:val="53E421E6"/>
    <w:rsid w:val="543D24BF"/>
    <w:rsid w:val="548754B8"/>
    <w:rsid w:val="54CA318A"/>
    <w:rsid w:val="550E3B1C"/>
    <w:rsid w:val="55517AB0"/>
    <w:rsid w:val="5640190F"/>
    <w:rsid w:val="56A800D0"/>
    <w:rsid w:val="56B22127"/>
    <w:rsid w:val="56D106EB"/>
    <w:rsid w:val="57192BB8"/>
    <w:rsid w:val="5734671F"/>
    <w:rsid w:val="57423EBA"/>
    <w:rsid w:val="57813298"/>
    <w:rsid w:val="578D1574"/>
    <w:rsid w:val="57BB500C"/>
    <w:rsid w:val="57F25067"/>
    <w:rsid w:val="58753EBA"/>
    <w:rsid w:val="58E426FC"/>
    <w:rsid w:val="58FC3B2E"/>
    <w:rsid w:val="59063548"/>
    <w:rsid w:val="59A52CB3"/>
    <w:rsid w:val="59CC52AE"/>
    <w:rsid w:val="59EE111B"/>
    <w:rsid w:val="5A5468C1"/>
    <w:rsid w:val="5A6776CD"/>
    <w:rsid w:val="5ADD1E8F"/>
    <w:rsid w:val="5AE6303A"/>
    <w:rsid w:val="5B155A7C"/>
    <w:rsid w:val="5B442B97"/>
    <w:rsid w:val="5B977B3E"/>
    <w:rsid w:val="5BF81170"/>
    <w:rsid w:val="5C5B0B6B"/>
    <w:rsid w:val="5CB643E4"/>
    <w:rsid w:val="5CDF5BEB"/>
    <w:rsid w:val="5D8D11F8"/>
    <w:rsid w:val="5DBA34BD"/>
    <w:rsid w:val="5E2D5305"/>
    <w:rsid w:val="5F1D65AC"/>
    <w:rsid w:val="5F230066"/>
    <w:rsid w:val="5F814D8D"/>
    <w:rsid w:val="5FA47678"/>
    <w:rsid w:val="5FE455B0"/>
    <w:rsid w:val="603B13E0"/>
    <w:rsid w:val="60504E56"/>
    <w:rsid w:val="60535261"/>
    <w:rsid w:val="60B46A9C"/>
    <w:rsid w:val="60D333C6"/>
    <w:rsid w:val="60FD3EE9"/>
    <w:rsid w:val="61B64B12"/>
    <w:rsid w:val="627A5057"/>
    <w:rsid w:val="62A033DD"/>
    <w:rsid w:val="62B113CD"/>
    <w:rsid w:val="62D376AD"/>
    <w:rsid w:val="62DB04BF"/>
    <w:rsid w:val="63002758"/>
    <w:rsid w:val="63886101"/>
    <w:rsid w:val="63A5515E"/>
    <w:rsid w:val="63E072F9"/>
    <w:rsid w:val="63E738F2"/>
    <w:rsid w:val="63F37308"/>
    <w:rsid w:val="641E6734"/>
    <w:rsid w:val="648B2856"/>
    <w:rsid w:val="64AD2180"/>
    <w:rsid w:val="64F46001"/>
    <w:rsid w:val="650642D5"/>
    <w:rsid w:val="652E22D7"/>
    <w:rsid w:val="658E5B0E"/>
    <w:rsid w:val="65D86017"/>
    <w:rsid w:val="65E6594A"/>
    <w:rsid w:val="660E1EAC"/>
    <w:rsid w:val="661600DA"/>
    <w:rsid w:val="66DF5346"/>
    <w:rsid w:val="66E14AAB"/>
    <w:rsid w:val="6736630B"/>
    <w:rsid w:val="678E0566"/>
    <w:rsid w:val="67EE0E11"/>
    <w:rsid w:val="68DF3109"/>
    <w:rsid w:val="693F2885"/>
    <w:rsid w:val="69464230"/>
    <w:rsid w:val="699F5DE9"/>
    <w:rsid w:val="6A1D1DA5"/>
    <w:rsid w:val="6A79451F"/>
    <w:rsid w:val="6A9776F8"/>
    <w:rsid w:val="6AAF0A00"/>
    <w:rsid w:val="6AED777A"/>
    <w:rsid w:val="6AEF34F2"/>
    <w:rsid w:val="6B234F4A"/>
    <w:rsid w:val="6C2830FF"/>
    <w:rsid w:val="6C5F0204"/>
    <w:rsid w:val="6C69186D"/>
    <w:rsid w:val="6C753814"/>
    <w:rsid w:val="6C7D443F"/>
    <w:rsid w:val="6C8851EE"/>
    <w:rsid w:val="6CC85DA9"/>
    <w:rsid w:val="6CCF1622"/>
    <w:rsid w:val="6CE7035E"/>
    <w:rsid w:val="6DB1246A"/>
    <w:rsid w:val="6DCE19FB"/>
    <w:rsid w:val="6EAE5472"/>
    <w:rsid w:val="702F5608"/>
    <w:rsid w:val="708F2CC4"/>
    <w:rsid w:val="709444F0"/>
    <w:rsid w:val="71182116"/>
    <w:rsid w:val="71205936"/>
    <w:rsid w:val="71477CCB"/>
    <w:rsid w:val="7178018F"/>
    <w:rsid w:val="719637E6"/>
    <w:rsid w:val="71A1306D"/>
    <w:rsid w:val="71BA40BB"/>
    <w:rsid w:val="71BE54D9"/>
    <w:rsid w:val="71CD052F"/>
    <w:rsid w:val="727129D2"/>
    <w:rsid w:val="73740A39"/>
    <w:rsid w:val="738E71A4"/>
    <w:rsid w:val="742B746E"/>
    <w:rsid w:val="74736F42"/>
    <w:rsid w:val="74BA691F"/>
    <w:rsid w:val="74CA7F29"/>
    <w:rsid w:val="75255FC0"/>
    <w:rsid w:val="752B1D3E"/>
    <w:rsid w:val="75913D16"/>
    <w:rsid w:val="763C0048"/>
    <w:rsid w:val="766D1EB1"/>
    <w:rsid w:val="76AC7253"/>
    <w:rsid w:val="76D338D8"/>
    <w:rsid w:val="77135965"/>
    <w:rsid w:val="77262B54"/>
    <w:rsid w:val="772D4414"/>
    <w:rsid w:val="773A5C43"/>
    <w:rsid w:val="774B6117"/>
    <w:rsid w:val="775947BB"/>
    <w:rsid w:val="77736E30"/>
    <w:rsid w:val="77AD276B"/>
    <w:rsid w:val="77B87094"/>
    <w:rsid w:val="77C96E08"/>
    <w:rsid w:val="79381CCC"/>
    <w:rsid w:val="79387AF1"/>
    <w:rsid w:val="79500F4C"/>
    <w:rsid w:val="7986195D"/>
    <w:rsid w:val="79E005EE"/>
    <w:rsid w:val="7A044DC4"/>
    <w:rsid w:val="7A865511"/>
    <w:rsid w:val="7AA20E97"/>
    <w:rsid w:val="7AAA1FDB"/>
    <w:rsid w:val="7AAA4D40"/>
    <w:rsid w:val="7ABC4A73"/>
    <w:rsid w:val="7AC10876"/>
    <w:rsid w:val="7B2F16E9"/>
    <w:rsid w:val="7B334ED0"/>
    <w:rsid w:val="7BDD1061"/>
    <w:rsid w:val="7C324FAC"/>
    <w:rsid w:val="7C4B6886"/>
    <w:rsid w:val="7C71236F"/>
    <w:rsid w:val="7C7B25BC"/>
    <w:rsid w:val="7C872904"/>
    <w:rsid w:val="7C8D2B6B"/>
    <w:rsid w:val="7D55069E"/>
    <w:rsid w:val="7D670C49"/>
    <w:rsid w:val="7D711B45"/>
    <w:rsid w:val="7DE0481E"/>
    <w:rsid w:val="7DFC793D"/>
    <w:rsid w:val="7E5F5E41"/>
    <w:rsid w:val="7E78432D"/>
    <w:rsid w:val="7E8E02D3"/>
    <w:rsid w:val="7EA902C5"/>
    <w:rsid w:val="7EAA3560"/>
    <w:rsid w:val="7ECF553C"/>
    <w:rsid w:val="7EF10E29"/>
    <w:rsid w:val="7EF944E8"/>
    <w:rsid w:val="7F3834E8"/>
    <w:rsid w:val="7F6E20C0"/>
    <w:rsid w:val="7F9C1021"/>
    <w:rsid w:val="7FB36445"/>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Lines="0" w:beforeAutospacing="0" w:afterLines="0" w:afterAutospacing="0" w:line="560" w:lineRule="exact"/>
      <w:ind w:firstLine="640" w:firstLineChars="200"/>
      <w:outlineLvl w:val="2"/>
    </w:pPr>
    <w:rPr>
      <w:rFonts w:ascii="Times New Roman" w:hAnsi="Times New Roman" w:eastAsia="楷体_GB2312"/>
      <w:b/>
      <w:sz w:val="32"/>
    </w:rPr>
  </w:style>
  <w:style w:type="paragraph" w:styleId="3">
    <w:name w:val="heading 4"/>
    <w:basedOn w:val="1"/>
    <w:next w:val="1"/>
    <w:qFormat/>
    <w:uiPriority w:val="0"/>
    <w:pPr>
      <w:keepNext/>
      <w:keepLines/>
      <w:spacing w:beforeLines="0" w:beforeAutospacing="0" w:afterLines="0" w:afterAutospacing="0" w:line="560" w:lineRule="exact"/>
      <w:ind w:firstLine="640" w:firstLineChars="200"/>
      <w:outlineLvl w:val="3"/>
    </w:pPr>
    <w:rPr>
      <w:rFonts w:ascii="Arial" w:hAnsi="Arial" w:eastAsia="仿宋_GB2312" w:cs="仿宋_GB2312"/>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unhideWhenUsed/>
    <w:qFormat/>
    <w:uiPriority w:val="99"/>
    <w:pPr>
      <w:spacing w:line="560" w:lineRule="exact"/>
      <w:ind w:left="0" w:leftChars="0" w:firstLine="640" w:firstLineChars="200"/>
    </w:pPr>
    <w:rPr>
      <w:rFonts w:ascii="仿宋_GB2312" w:hAnsi="仿宋_GB2312" w:eastAsia="仿宋_GB2312"/>
      <w:kern w:val="0"/>
      <w:sz w:val="32"/>
      <w:szCs w:val="3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99"/>
    <w:pPr>
      <w:snapToGrid w:val="0"/>
      <w:jc w:val="left"/>
    </w:pPr>
    <w:rPr>
      <w:sz w:val="18"/>
      <w:szCs w:val="18"/>
    </w:rPr>
  </w:style>
  <w:style w:type="paragraph" w:styleId="8">
    <w:name w:val="Body Text First Indent 2"/>
    <w:basedOn w:val="4"/>
    <w:next w:val="1"/>
    <w:unhideWhenUsed/>
    <w:qFormat/>
    <w:uiPriority w:val="99"/>
    <w:pPr>
      <w:ind w:firstLine="420" w:firstLineChars="200"/>
    </w:pPr>
  </w:style>
  <w:style w:type="character" w:styleId="11">
    <w:name w:val="Strong"/>
    <w:basedOn w:val="10"/>
    <w:qFormat/>
    <w:uiPriority w:val="0"/>
    <w:rPr>
      <w:b/>
      <w:bCs/>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styleId="14">
    <w:name w:val="List Paragraph"/>
    <w:basedOn w:val="1"/>
    <w:unhideWhenUsed/>
    <w:qFormat/>
    <w:uiPriority w:val="99"/>
    <w:pPr>
      <w:ind w:firstLine="420" w:firstLineChars="200"/>
    </w:pPr>
  </w:style>
  <w:style w:type="character" w:customStyle="1" w:styleId="15">
    <w:name w:val="font71"/>
    <w:basedOn w:val="10"/>
    <w:qFormat/>
    <w:uiPriority w:val="0"/>
    <w:rPr>
      <w:rFonts w:hint="eastAsia" w:ascii="宋体" w:hAnsi="宋体" w:eastAsia="宋体" w:cs="宋体"/>
      <w:b/>
      <w:bCs/>
      <w:color w:val="000000"/>
      <w:sz w:val="24"/>
      <w:szCs w:val="24"/>
      <w:u w:val="none"/>
    </w:rPr>
  </w:style>
  <w:style w:type="character" w:customStyle="1" w:styleId="16">
    <w:name w:val="font3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aef8c490-77fa-451b-924c-ffc689f507bc</errorID>
      <errorWord>&gt;</errorWord>
      <group>L1_Format</group>
      <groupName>格式问题</groupName>
      <ability>L2_HalfPunc</ability>
      <abilityName>全半角检查</abilityName>
      <candidateList>
        <item>〉</item>
      </candidateList>
      <explain>文本全半角错误。</explain>
      <paraID>6B9D389D</paraID>
      <start>16</start>
      <end>17</end>
      <status>ignored</status>
      <modifiedWord/>
      <trackRevisions>false</trackRevisions>
    </reviewItem>
    <reviewItem>
      <errorID>e8b8f49d-be48-4419-9b49-7a5eb13eec13</errorID>
      <errorWord>&gt;</errorWord>
      <group>L1_Format</group>
      <groupName>格式问题</groupName>
      <ability>L2_HalfPunc</ability>
      <abilityName>全半角检查</abilityName>
      <candidateList>
        <item>〉</item>
      </candidateList>
      <explain>文本全半角错误。</explain>
      <paraID>623C9303</paraID>
      <start>16</start>
      <end>17</end>
      <status>ignored</status>
      <modifiedWord/>
      <trackRevisions>false</trackRevisions>
    </reviewItem>
    <reviewItem>
      <errorID>2d0d9f7b-480f-4346-b4c0-433cf4cfc287</errorID>
      <errorWord>&gt;</errorWord>
      <group>L1_Format</group>
      <groupName>格式问题</groupName>
      <ability>L2_HalfPunc</ability>
      <abilityName>全半角检查</abilityName>
      <candidateList>
        <item>〉</item>
      </candidateList>
      <explain>文本全半角错误。</explain>
      <paraID>302C2E2A</paraID>
      <start>16</start>
      <end>17</end>
      <status>ignored</status>
      <modifiedWord/>
      <trackRevisions>false</trackRevisions>
    </reviewItem>
    <reviewItem>
      <errorID>e10cabbb-0184-48a8-8f64-cdc5f7384d7f</errorID>
      <errorWord>&gt;</errorWord>
      <group>L1_Format</group>
      <groupName>格式问题</groupName>
      <ability>L2_HalfPunc</ability>
      <abilityName>全半角检查</abilityName>
      <candidateList>
        <item>〉</item>
      </candidateList>
      <explain>文本全半角错误。</explain>
      <paraID>6F8BF0AA</paraID>
      <start>16</start>
      <end>17</end>
      <status>ignored</status>
      <modifiedWord/>
      <trackRevisions>false</trackRevisions>
    </reviewItem>
    <reviewItem>
      <errorID>d05ca434-d424-48a5-909e-f8495cc32c87</errorID>
      <errorWord>&gt;</errorWord>
      <group>L1_Format</group>
      <groupName>格式问题</groupName>
      <ability>L2_HalfPunc</ability>
      <abilityName>全半角检查</abilityName>
      <candidateList>
        <item>〉</item>
      </candidateList>
      <explain>文本全半角错误。</explain>
      <paraID> 74CAA84</paraID>
      <start>16</start>
      <end>17</end>
      <status>ignored</status>
      <modifiedWord/>
      <trackRevisions>false</trackRevisions>
    </reviewItem>
    <reviewItem>
      <errorID>4e054d5d-a3da-4965-9ac3-350e5d9af774</errorID>
      <errorWord>&gt;</errorWord>
      <group>L1_Format</group>
      <groupName>格式问题</groupName>
      <ability>L2_HalfPunc</ability>
      <abilityName>全半角检查</abilityName>
      <candidateList>
        <item>〉</item>
      </candidateList>
      <explain>文本全半角错误。</explain>
      <paraID>29E5A3B5</paraID>
      <start>16</start>
      <end>17</end>
      <status>ignored</status>
      <modifiedWord/>
      <trackRevisions>false</trackRevisions>
    </reviewItem>
    <reviewItem>
      <errorID>223a3683-cac5-4adf-b787-239e7b4cf389</errorID>
      <errorWord>&gt;</errorWord>
      <group>L1_Format</group>
      <groupName>格式问题</groupName>
      <ability>L2_HalfPunc</ability>
      <abilityName>全半角检查</abilityName>
      <candidateList>
        <item>〉</item>
      </candidateList>
      <explain>文本全半角错误。</explain>
      <paraID>793A3F8B</paraID>
      <start>16</start>
      <end>17</end>
      <status>ignored</status>
      <modifiedWord/>
      <trackRevisions>false</trackRevisions>
    </reviewItem>
    <reviewItem>
      <errorID>d45c60fc-227f-4806-adc4-d16d1c4071b4</errorID>
      <errorWord>&gt;</errorWord>
      <group>L1_Format</group>
      <groupName>格式问题</groupName>
      <ability>L2_HalfPunc</ability>
      <abilityName>全半角检查</abilityName>
      <candidateList>
        <item>〉</item>
      </candidateList>
      <explain>文本全半角错误。</explain>
      <paraID>613B406C</paraID>
      <start>16</start>
      <end>17</end>
      <status>ignored</status>
      <modifiedWord/>
      <trackRevisions>false</trackRevisions>
    </reviewItem>
    <reviewItem>
      <errorID>e0be9e4c-47cf-4f46-887d-0bd5c54d78b5</errorID>
      <errorWord>&gt;</errorWord>
      <group>L1_Format</group>
      <groupName>格式问题</groupName>
      <ability>L2_HalfPunc</ability>
      <abilityName>全半角检查</abilityName>
      <candidateList>
        <item>〉</item>
      </candidateList>
      <explain>文本全半角错误。</explain>
      <paraID>5BA1A562</paraID>
      <start>16</start>
      <end>17</end>
      <status>ignored</status>
      <modifiedWord/>
      <trackRevisions>false</trackRevisions>
    </reviewItem>
    <reviewItem>
      <errorID>4fff8304-89b4-4da0-b1f6-f2a1f56ccb37</errorID>
      <errorWord>&gt;</errorWord>
      <group>L1_Format</group>
      <groupName>格式问题</groupName>
      <ability>L2_HalfPunc</ability>
      <abilityName>全半角检查</abilityName>
      <candidateList>
        <item>〉</item>
      </candidateList>
      <explain>文本全半角错误。</explain>
      <paraID>6D4ABE89</paraID>
      <start>17</start>
      <end>18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d148b-0cbc-4ca6-95d3-2b53192d5e9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10449</Words>
  <Characters>11288</Characters>
  <Lines>9</Lines>
  <Paragraphs>2</Paragraphs>
  <TotalTime>0</TotalTime>
  <ScaleCrop>false</ScaleCrop>
  <LinksUpToDate>false</LinksUpToDate>
  <CharactersWithSpaces>11303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咕嘟</cp:lastModifiedBy>
  <cp:lastPrinted>2026-03-31T02:42:00Z</cp:lastPrinted>
  <dcterms:modified xsi:type="dcterms:W3CDTF">2026-09-03T10:46:48Z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0BE94239937E44F3B9B6BA7136D2C683_13</vt:lpwstr>
  </property>
  <property fmtid="{D5CDD505-2E9C-101B-9397-08002B2CF9AE}" pid="4" name="KSOTemplateDocerSaveRecord">
    <vt:lpwstr>eyJoZGlkIjoiMzQ2NDNlZDExNmRlNTJhNGZkYjljYTE4OTU0OGExMWEiLCJ1c2VySWQiOiI0NjA2MjE5OTEifQ==</vt:lpwstr>
  </property>
</Properties>
</file>