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6F56B">
      <w:pPr>
        <w:spacing w:line="540" w:lineRule="exact"/>
        <w:jc w:val="center"/>
        <w:rPr>
          <w:rFonts w:ascii="华文中宋" w:hAnsi="华文中宋" w:eastAsia="华文中宋" w:cs="宋体"/>
          <w:b/>
          <w:kern w:val="0"/>
          <w:sz w:val="52"/>
          <w:szCs w:val="52"/>
        </w:rPr>
      </w:pPr>
    </w:p>
    <w:p w14:paraId="7AE35ADF">
      <w:pPr>
        <w:spacing w:line="540" w:lineRule="exact"/>
        <w:jc w:val="center"/>
        <w:rPr>
          <w:rFonts w:hint="eastAsia" w:ascii="方正小标宋_GBK" w:hAnsi="华文中宋" w:eastAsia="方正小标宋_GBK" w:cs="宋体"/>
          <w:b/>
          <w:kern w:val="0"/>
          <w:sz w:val="48"/>
          <w:szCs w:val="48"/>
        </w:rPr>
      </w:pPr>
    </w:p>
    <w:p w14:paraId="4F835553">
      <w:pPr>
        <w:spacing w:line="540" w:lineRule="exact"/>
        <w:jc w:val="center"/>
        <w:rPr>
          <w:rFonts w:hint="eastAsia" w:ascii="方正小标宋_GBK" w:hAnsi="华文中宋" w:eastAsia="方正小标宋_GBK" w:cs="宋体"/>
          <w:b/>
          <w:kern w:val="0"/>
          <w:sz w:val="48"/>
          <w:szCs w:val="48"/>
        </w:rPr>
      </w:pPr>
    </w:p>
    <w:p w14:paraId="2B7CB6F2">
      <w:pPr>
        <w:spacing w:line="540" w:lineRule="exact"/>
        <w:ind w:left="0" w:leftChars="0" w:firstLine="0" w:firstLineChars="0"/>
        <w:jc w:val="both"/>
        <w:rPr>
          <w:rFonts w:hint="eastAsia" w:ascii="方正小标宋_GBK" w:hAnsi="华文中宋" w:eastAsia="方正小标宋_GBK" w:cs="宋体"/>
          <w:b/>
          <w:kern w:val="0"/>
          <w:sz w:val="48"/>
          <w:szCs w:val="48"/>
        </w:rPr>
      </w:pPr>
    </w:p>
    <w:p w14:paraId="5CCB748F">
      <w:pPr>
        <w:spacing w:line="540" w:lineRule="exact"/>
        <w:ind w:left="0" w:leftChars="0" w:firstLine="0" w:firstLineChars="0"/>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A40786E">
      <w:pPr>
        <w:spacing w:line="540" w:lineRule="exact"/>
        <w:jc w:val="center"/>
        <w:rPr>
          <w:rFonts w:ascii="华文中宋" w:hAnsi="华文中宋" w:eastAsia="华文中宋" w:cs="宋体"/>
          <w:b/>
          <w:kern w:val="0"/>
          <w:sz w:val="52"/>
          <w:szCs w:val="52"/>
        </w:rPr>
      </w:pPr>
    </w:p>
    <w:p w14:paraId="640E480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2025</w:t>
      </w:r>
      <w:r>
        <w:rPr>
          <w:rFonts w:hint="eastAsia" w:hAnsi="宋体" w:eastAsia="仿宋_GB2312" w:cs="宋体"/>
          <w:kern w:val="0"/>
          <w:sz w:val="36"/>
          <w:szCs w:val="36"/>
        </w:rPr>
        <w:t>年度）</w:t>
      </w:r>
    </w:p>
    <w:p w14:paraId="1CC5ED27">
      <w:pPr>
        <w:spacing w:line="540" w:lineRule="exact"/>
        <w:jc w:val="center"/>
        <w:rPr>
          <w:rFonts w:hAnsi="宋体" w:eastAsia="仿宋_GB2312" w:cs="宋体"/>
          <w:kern w:val="0"/>
          <w:sz w:val="30"/>
          <w:szCs w:val="30"/>
        </w:rPr>
      </w:pPr>
    </w:p>
    <w:p w14:paraId="736D1FF5">
      <w:pPr>
        <w:spacing w:line="540" w:lineRule="exact"/>
        <w:jc w:val="center"/>
        <w:rPr>
          <w:rFonts w:hAnsi="宋体" w:eastAsia="仿宋_GB2312" w:cs="宋体"/>
          <w:kern w:val="0"/>
          <w:sz w:val="30"/>
          <w:szCs w:val="30"/>
        </w:rPr>
      </w:pPr>
    </w:p>
    <w:p w14:paraId="142CD719">
      <w:pPr>
        <w:spacing w:line="540" w:lineRule="exact"/>
        <w:jc w:val="center"/>
        <w:rPr>
          <w:rFonts w:ascii="方正小标宋_GBK" w:hAnsi="宋体" w:eastAsia="方正小标宋_GBK" w:cs="宋体"/>
          <w:kern w:val="0"/>
          <w:sz w:val="36"/>
          <w:szCs w:val="36"/>
        </w:rPr>
      </w:pPr>
    </w:p>
    <w:p w14:paraId="140DF910">
      <w:pPr>
        <w:spacing w:line="540" w:lineRule="exact"/>
        <w:jc w:val="center"/>
        <w:rPr>
          <w:rFonts w:hAnsi="宋体" w:eastAsia="仿宋_GB2312" w:cs="宋体"/>
          <w:kern w:val="0"/>
          <w:sz w:val="30"/>
          <w:szCs w:val="30"/>
        </w:rPr>
      </w:pPr>
    </w:p>
    <w:p w14:paraId="0600F7FD">
      <w:pPr>
        <w:spacing w:line="540" w:lineRule="exact"/>
        <w:jc w:val="center"/>
        <w:rPr>
          <w:rFonts w:hAnsi="宋体" w:eastAsia="仿宋_GB2312" w:cs="宋体"/>
          <w:kern w:val="0"/>
          <w:sz w:val="30"/>
          <w:szCs w:val="30"/>
        </w:rPr>
      </w:pPr>
    </w:p>
    <w:p w14:paraId="0D6630B0">
      <w:pPr>
        <w:spacing w:line="540" w:lineRule="exact"/>
        <w:jc w:val="center"/>
        <w:rPr>
          <w:rFonts w:hAnsi="宋体" w:eastAsia="仿宋_GB2312" w:cs="宋体"/>
          <w:kern w:val="0"/>
          <w:sz w:val="30"/>
          <w:szCs w:val="30"/>
        </w:rPr>
      </w:pPr>
    </w:p>
    <w:p w14:paraId="6A9D0F5A">
      <w:pPr>
        <w:spacing w:line="540" w:lineRule="exact"/>
        <w:rPr>
          <w:rFonts w:hAnsi="宋体" w:eastAsia="仿宋_GB2312" w:cs="宋体"/>
          <w:kern w:val="0"/>
          <w:sz w:val="30"/>
          <w:szCs w:val="30"/>
        </w:rPr>
      </w:pPr>
    </w:p>
    <w:p w14:paraId="20FACAC4">
      <w:pPr>
        <w:spacing w:line="700" w:lineRule="exact"/>
        <w:ind w:left="0" w:leftChars="0" w:firstLine="720" w:firstLineChars="200"/>
        <w:jc w:val="left"/>
        <w:rPr>
          <w:rFonts w:hAnsi="宋体" w:eastAsia="仿宋_GB2312" w:cs="宋体"/>
          <w:kern w:val="0"/>
          <w:sz w:val="30"/>
          <w:szCs w:val="30"/>
        </w:rPr>
      </w:pPr>
      <w:r>
        <w:rPr>
          <w:rFonts w:hint="eastAsia" w:hAnsi="宋体" w:eastAsia="仿宋_GB2312" w:cs="宋体"/>
          <w:kern w:val="0"/>
          <w:sz w:val="36"/>
          <w:szCs w:val="36"/>
        </w:rPr>
        <w:t>项目名称：</w:t>
      </w:r>
      <w:r>
        <w:rPr>
          <w:rStyle w:val="10"/>
          <w:rFonts w:hint="default" w:ascii="楷体" w:hAnsi="楷体" w:eastAsia="楷体" w:cs="Times New Roman"/>
          <w:spacing w:val="-4"/>
          <w:sz w:val="32"/>
          <w:szCs w:val="32"/>
        </w:rPr>
        <w:t>202</w:t>
      </w:r>
      <w:r>
        <w:rPr>
          <w:rStyle w:val="10"/>
          <w:rFonts w:hint="default" w:ascii="楷体" w:hAnsi="楷体" w:eastAsia="楷体" w:cs="Times New Roman"/>
          <w:spacing w:val="-4"/>
          <w:sz w:val="32"/>
          <w:szCs w:val="32"/>
          <w:lang w:val="en-US" w:eastAsia="zh-CN"/>
        </w:rPr>
        <w:t>5</w:t>
      </w:r>
      <w:r>
        <w:rPr>
          <w:rStyle w:val="10"/>
          <w:rFonts w:hint="default" w:ascii="楷体" w:hAnsi="楷体" w:eastAsia="楷体" w:cs="Times New Roman"/>
          <w:spacing w:val="-4"/>
          <w:sz w:val="32"/>
          <w:szCs w:val="32"/>
        </w:rPr>
        <w:t>年非财政拨款</w:t>
      </w:r>
      <w:r>
        <w:rPr>
          <w:rStyle w:val="10"/>
          <w:rFonts w:hint="eastAsia" w:ascii="楷体" w:hAnsi="楷体" w:eastAsia="楷体" w:cs="Times New Roman"/>
          <w:spacing w:val="-4"/>
          <w:sz w:val="32"/>
          <w:szCs w:val="32"/>
          <w:lang w:val="en-US" w:eastAsia="zh-CN"/>
        </w:rPr>
        <w:t>项目</w:t>
      </w:r>
    </w:p>
    <w:p w14:paraId="4F9A36D9">
      <w:pPr>
        <w:spacing w:line="540" w:lineRule="exact"/>
        <w:ind w:left="0" w:leftChars="0" w:firstLine="720" w:firstLineChars="200"/>
        <w:rPr>
          <w:rFonts w:ascii="楷体" w:hAnsi="楷体" w:eastAsia="楷体"/>
          <w:b/>
          <w:bCs/>
          <w:spacing w:val="-4"/>
          <w:sz w:val="32"/>
          <w:szCs w:val="32"/>
        </w:rPr>
      </w:pPr>
      <w:r>
        <w:rPr>
          <w:rFonts w:hint="eastAsia" w:hAnsi="宋体" w:eastAsia="仿宋_GB2312" w:cs="宋体"/>
          <w:kern w:val="0"/>
          <w:sz w:val="36"/>
          <w:szCs w:val="36"/>
        </w:rPr>
        <w:t>实施单位（公章）：</w:t>
      </w:r>
      <w:r>
        <w:rPr>
          <w:rStyle w:val="10"/>
          <w:rFonts w:hint="eastAsia" w:ascii="楷体" w:hAnsi="楷体" w:eastAsia="楷体"/>
          <w:spacing w:val="-4"/>
          <w:sz w:val="32"/>
          <w:szCs w:val="32"/>
        </w:rPr>
        <w:t>新疆财经大学</w:t>
      </w:r>
    </w:p>
    <w:p w14:paraId="421864A6">
      <w:pPr>
        <w:spacing w:line="540" w:lineRule="exact"/>
        <w:ind w:left="0" w:leftChars="0" w:firstLine="720" w:firstLineChars="200"/>
        <w:rPr>
          <w:rFonts w:ascii="楷体" w:hAnsi="楷体" w:eastAsia="楷体"/>
          <w:b/>
          <w:bCs/>
          <w:spacing w:val="-4"/>
          <w:sz w:val="32"/>
          <w:szCs w:val="32"/>
        </w:rPr>
      </w:pPr>
      <w:r>
        <w:rPr>
          <w:rFonts w:hint="eastAsia" w:hAnsi="宋体" w:eastAsia="仿宋_GB2312" w:cs="宋体"/>
          <w:kern w:val="0"/>
          <w:sz w:val="36"/>
          <w:szCs w:val="36"/>
        </w:rPr>
        <w:t>主管部门（公章）：</w:t>
      </w:r>
      <w:r>
        <w:rPr>
          <w:rStyle w:val="10"/>
          <w:rFonts w:hint="eastAsia" w:ascii="楷体" w:hAnsi="楷体" w:eastAsia="楷体"/>
          <w:spacing w:val="-4"/>
          <w:sz w:val="32"/>
          <w:szCs w:val="32"/>
        </w:rPr>
        <w:t>新疆财经大学</w:t>
      </w:r>
    </w:p>
    <w:p w14:paraId="49A8AF47">
      <w:pPr>
        <w:spacing w:line="540" w:lineRule="exact"/>
        <w:ind w:left="0" w:leftChars="0" w:firstLine="720" w:firstLineChars="20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0"/>
          <w:rFonts w:hint="eastAsia" w:ascii="楷体" w:hAnsi="楷体" w:eastAsia="楷体"/>
          <w:spacing w:val="-4"/>
          <w:sz w:val="32"/>
          <w:szCs w:val="32"/>
        </w:rPr>
        <w:t>居来提·吐尔地</w:t>
      </w:r>
    </w:p>
    <w:p w14:paraId="0E1567B0">
      <w:pPr>
        <w:spacing w:line="540" w:lineRule="exact"/>
        <w:ind w:left="0" w:leftChars="0" w:firstLine="720" w:firstLineChars="200"/>
        <w:rPr>
          <w:rStyle w:val="10"/>
          <w:rFonts w:ascii="楷体" w:hAnsi="楷体" w:eastAsia="楷体"/>
          <w:spacing w:val="-4"/>
          <w:sz w:val="32"/>
          <w:szCs w:val="32"/>
        </w:rPr>
      </w:pPr>
      <w:r>
        <w:rPr>
          <w:rFonts w:hint="eastAsia" w:hAnsi="宋体" w:eastAsia="仿宋_GB2312" w:cs="宋体"/>
          <w:kern w:val="0"/>
          <w:sz w:val="36"/>
          <w:szCs w:val="36"/>
        </w:rPr>
        <w:t>填报时间：</w:t>
      </w:r>
      <w:r>
        <w:rPr>
          <w:rStyle w:val="10"/>
          <w:rFonts w:hint="eastAsia" w:ascii="楷体" w:hAnsi="楷体" w:eastAsia="楷体"/>
          <w:spacing w:val="-4"/>
          <w:sz w:val="32"/>
          <w:szCs w:val="32"/>
        </w:rPr>
        <w:t>202</w:t>
      </w:r>
      <w:r>
        <w:rPr>
          <w:rStyle w:val="10"/>
          <w:rFonts w:hint="eastAsia" w:ascii="楷体" w:hAnsi="楷体" w:eastAsia="楷体"/>
          <w:spacing w:val="-4"/>
          <w:sz w:val="32"/>
          <w:szCs w:val="32"/>
          <w:lang w:val="en-US" w:eastAsia="zh-CN"/>
        </w:rPr>
        <w:t>6</w:t>
      </w:r>
      <w:r>
        <w:rPr>
          <w:rStyle w:val="10"/>
          <w:rFonts w:hint="eastAsia" w:ascii="楷体" w:hAnsi="楷体" w:eastAsia="楷体"/>
          <w:spacing w:val="-4"/>
          <w:sz w:val="32"/>
          <w:szCs w:val="32"/>
        </w:rPr>
        <w:t>年03月</w:t>
      </w:r>
      <w:r>
        <w:rPr>
          <w:rStyle w:val="10"/>
          <w:rFonts w:hint="eastAsia" w:ascii="楷体" w:hAnsi="楷体" w:eastAsia="楷体"/>
          <w:spacing w:val="-4"/>
          <w:sz w:val="32"/>
          <w:szCs w:val="32"/>
          <w:lang w:val="en-US" w:eastAsia="zh-CN"/>
        </w:rPr>
        <w:t>23</w:t>
      </w:r>
      <w:r>
        <w:rPr>
          <w:rStyle w:val="10"/>
          <w:rFonts w:hint="eastAsia" w:ascii="楷体" w:hAnsi="楷体" w:eastAsia="楷体"/>
          <w:spacing w:val="-4"/>
          <w:sz w:val="32"/>
          <w:szCs w:val="32"/>
        </w:rPr>
        <w:t>日</w:t>
      </w:r>
    </w:p>
    <w:p w14:paraId="00F8442F">
      <w:pPr>
        <w:spacing w:before="468" w:beforeLines="150"/>
        <w:ind w:firstLine="0" w:firstLineChars="0"/>
        <w:jc w:val="center"/>
        <w:rPr>
          <w:rFonts w:hint="default" w:ascii="Times New Roman" w:hAnsi="Times New Roman" w:eastAsia="方正小标宋简体" w:cs="Times New Roman"/>
          <w:sz w:val="44"/>
          <w:szCs w:val="44"/>
        </w:rPr>
      </w:pPr>
    </w:p>
    <w:p w14:paraId="496933DE">
      <w:pPr>
        <w:spacing w:before="468" w:beforeLines="150"/>
        <w:ind w:firstLine="0" w:firstLineChars="0"/>
        <w:jc w:val="center"/>
        <w:rPr>
          <w:rFonts w:hint="default" w:ascii="Times New Roman" w:hAnsi="Times New Roman" w:eastAsia="方正小标宋简体" w:cs="Times New Roman"/>
          <w:sz w:val="44"/>
          <w:szCs w:val="44"/>
        </w:rPr>
      </w:pPr>
    </w:p>
    <w:p w14:paraId="35BD639B">
      <w:pPr>
        <w:spacing w:before="468" w:beforeLines="150"/>
        <w:ind w:firstLine="0" w:firstLineChars="0"/>
        <w:jc w:val="both"/>
        <w:rPr>
          <w:rFonts w:hint="default" w:ascii="Times New Roman" w:hAnsi="Times New Roman" w:eastAsia="方正小标宋简体" w:cs="Times New Roman"/>
          <w:sz w:val="44"/>
          <w:szCs w:val="44"/>
        </w:rPr>
      </w:pPr>
    </w:p>
    <w:p w14:paraId="6DC70230">
      <w:pPr>
        <w:spacing w:before="468" w:beforeLines="150"/>
        <w:ind w:firstLine="0" w:firstLineChars="0"/>
        <w:jc w:val="center"/>
        <w:rPr>
          <w:rFonts w:hint="default" w:ascii="Times New Roman" w:hAnsi="Times New Roman" w:eastAsia="方正小标宋简体" w:cs="Times New Roman"/>
          <w:sz w:val="44"/>
          <w:szCs w:val="44"/>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718659DF">
      <w:pPr>
        <w:spacing w:before="468" w:beforeLines="150"/>
        <w:ind w:firstLine="0" w:firstLineChar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新疆财经大学202</w:t>
      </w:r>
      <w:r>
        <w:rPr>
          <w:rFonts w:hint="default" w:ascii="Times New Roman" w:hAnsi="Times New Roman" w:eastAsia="方正小标宋简体" w:cs="Times New Roman"/>
          <w:sz w:val="44"/>
          <w:szCs w:val="44"/>
          <w:lang w:val="en-US" w:eastAsia="zh-CN"/>
        </w:rPr>
        <w:t>5</w:t>
      </w:r>
      <w:r>
        <w:rPr>
          <w:rFonts w:hint="default" w:ascii="Times New Roman" w:hAnsi="Times New Roman" w:eastAsia="方正小标宋简体" w:cs="Times New Roman"/>
          <w:sz w:val="44"/>
          <w:szCs w:val="44"/>
        </w:rPr>
        <w:t>年非财政拨款项目绩效</w:t>
      </w:r>
      <w:r>
        <w:rPr>
          <w:rFonts w:hint="eastAsia" w:eastAsia="方正小标宋简体" w:cs="Times New Roman"/>
          <w:sz w:val="44"/>
          <w:szCs w:val="44"/>
          <w:lang w:val="en-US" w:eastAsia="zh-CN"/>
        </w:rPr>
        <w:t>自评</w:t>
      </w:r>
      <w:r>
        <w:rPr>
          <w:rFonts w:hint="default" w:ascii="Times New Roman" w:hAnsi="Times New Roman" w:eastAsia="方正小标宋简体" w:cs="Times New Roman"/>
          <w:sz w:val="44"/>
          <w:szCs w:val="44"/>
        </w:rPr>
        <w:t>报告</w:t>
      </w:r>
    </w:p>
    <w:p w14:paraId="000392EF">
      <w:pPr>
        <w:pStyle w:val="2"/>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cs="Times New Roman"/>
        </w:rPr>
      </w:pPr>
    </w:p>
    <w:p w14:paraId="71246EAC">
      <w:pPr>
        <w:pStyle w:val="2"/>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cs="Times New Roman"/>
        </w:rPr>
      </w:pPr>
      <w:r>
        <w:rPr>
          <w:rFonts w:hint="default" w:ascii="Times New Roman" w:hAnsi="Times New Roman" w:cs="Times New Roman"/>
        </w:rPr>
        <w:t>一、基本情况</w:t>
      </w:r>
    </w:p>
    <w:p w14:paraId="4C6626EB">
      <w:pPr>
        <w:pageBreakBefore w:val="0"/>
        <w:widowControl w:val="0"/>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（一）项目概况</w:t>
      </w:r>
    </w:p>
    <w:p w14:paraId="714E25EF">
      <w:pPr>
        <w:ind w:firstLine="640"/>
        <w:rPr>
          <w:rFonts w:hint="default" w:ascii="Times New Roman" w:hAnsi="Times New Roman" w:cs="Times New Roman"/>
        </w:rPr>
      </w:pPr>
      <w:r>
        <w:rPr>
          <w:rFonts w:hint="default" w:ascii="Times New Roman" w:hAnsi="Times New Roman" w:cs="Times New Roman"/>
        </w:rPr>
        <w:t>1</w:t>
      </w:r>
      <w:r>
        <w:rPr>
          <w:rFonts w:hint="eastAsia" w:cs="Times New Roman"/>
          <w:lang w:val="en-US" w:eastAsia="zh-CN"/>
        </w:rPr>
        <w:t>.</w:t>
      </w:r>
      <w:r>
        <w:rPr>
          <w:rFonts w:hint="default" w:ascii="Times New Roman" w:hAnsi="Times New Roman" w:cs="Times New Roman"/>
        </w:rPr>
        <w:t>项目名称：非财政拨款项目</w:t>
      </w:r>
    </w:p>
    <w:p w14:paraId="46478100">
      <w:pPr>
        <w:ind w:firstLine="640"/>
        <w:rPr>
          <w:rFonts w:hint="default" w:ascii="Times New Roman" w:hAnsi="Times New Roman" w:cs="Times New Roman"/>
        </w:rPr>
      </w:pPr>
      <w:r>
        <w:rPr>
          <w:rFonts w:hint="default" w:ascii="Times New Roman" w:hAnsi="Times New Roman" w:cs="Times New Roman"/>
        </w:rPr>
        <w:t>2</w:t>
      </w:r>
      <w:r>
        <w:rPr>
          <w:rFonts w:hint="eastAsia" w:cs="Times New Roman"/>
          <w:lang w:val="en-US" w:eastAsia="zh-CN"/>
        </w:rPr>
        <w:t>.</w:t>
      </w:r>
      <w:r>
        <w:rPr>
          <w:rFonts w:hint="default" w:ascii="Times New Roman" w:hAnsi="Times New Roman" w:cs="Times New Roman"/>
        </w:rPr>
        <w:t>预算单位：新疆财经大学</w:t>
      </w:r>
    </w:p>
    <w:p w14:paraId="1D767628">
      <w:pPr>
        <w:ind w:firstLine="640"/>
        <w:rPr>
          <w:rFonts w:hint="default" w:ascii="Times New Roman" w:hAnsi="Times New Roman" w:cs="Times New Roman"/>
        </w:rPr>
      </w:pPr>
      <w:r>
        <w:rPr>
          <w:rFonts w:hint="default" w:ascii="Times New Roman" w:hAnsi="Times New Roman" w:cs="Times New Roman"/>
        </w:rPr>
        <w:t>3</w:t>
      </w:r>
      <w:r>
        <w:rPr>
          <w:rFonts w:hint="eastAsia" w:cs="Times New Roman"/>
          <w:lang w:val="en-US" w:eastAsia="zh-CN"/>
        </w:rPr>
        <w:t>.</w:t>
      </w:r>
      <w:r>
        <w:rPr>
          <w:rFonts w:hint="default" w:ascii="Times New Roman" w:hAnsi="Times New Roman" w:cs="Times New Roman"/>
        </w:rPr>
        <w:t>项目开始日期：202</w:t>
      </w:r>
      <w:r>
        <w:rPr>
          <w:rFonts w:hint="default" w:ascii="Times New Roman" w:hAnsi="Times New Roman" w:cs="Times New Roman"/>
          <w:lang w:val="en-US" w:eastAsia="zh-CN"/>
        </w:rPr>
        <w:t>5</w:t>
      </w:r>
      <w:r>
        <w:rPr>
          <w:rFonts w:hint="default" w:ascii="Times New Roman" w:hAnsi="Times New Roman" w:cs="Times New Roman"/>
        </w:rPr>
        <w:t>-01-01</w:t>
      </w:r>
    </w:p>
    <w:p w14:paraId="5B5EF9A6">
      <w:pPr>
        <w:ind w:firstLine="640"/>
        <w:rPr>
          <w:rFonts w:hint="default" w:ascii="Times New Roman" w:hAnsi="Times New Roman" w:cs="Times New Roman"/>
          <w:lang w:val="en-US" w:eastAsia="zh-CN"/>
        </w:rPr>
      </w:pPr>
      <w:r>
        <w:rPr>
          <w:rFonts w:hint="default" w:ascii="Times New Roman" w:hAnsi="Times New Roman" w:cs="Times New Roman"/>
        </w:rPr>
        <w:t>4</w:t>
      </w:r>
      <w:r>
        <w:rPr>
          <w:rFonts w:hint="eastAsia" w:cs="Times New Roman"/>
          <w:lang w:val="en-US" w:eastAsia="zh-CN"/>
        </w:rPr>
        <w:t>.</w:t>
      </w:r>
      <w:r>
        <w:rPr>
          <w:rFonts w:hint="default" w:ascii="Times New Roman" w:hAnsi="Times New Roman" w:cs="Times New Roman"/>
        </w:rPr>
        <w:t>项目结束日期：202</w:t>
      </w:r>
      <w:r>
        <w:rPr>
          <w:rFonts w:hint="default" w:ascii="Times New Roman" w:hAnsi="Times New Roman" w:cs="Times New Roman"/>
          <w:lang w:val="en-US" w:eastAsia="zh-CN"/>
        </w:rPr>
        <w:t>5</w:t>
      </w:r>
      <w:r>
        <w:rPr>
          <w:rFonts w:hint="default" w:ascii="Times New Roman" w:hAnsi="Times New Roman" w:cs="Times New Roman"/>
        </w:rPr>
        <w:t>-12-31</w:t>
      </w:r>
    </w:p>
    <w:p w14:paraId="5BB3C2D6">
      <w:pPr>
        <w:keepNext w:val="0"/>
        <w:keepLines w:val="0"/>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rPr>
      </w:pPr>
      <w:r>
        <w:rPr>
          <w:rFonts w:hint="eastAsia" w:cs="Times New Roman"/>
          <w:lang w:val="en-US" w:eastAsia="zh-CN"/>
        </w:rPr>
        <w:t>5.</w:t>
      </w:r>
      <w:r>
        <w:rPr>
          <w:rFonts w:hint="default" w:ascii="Times New Roman" w:hAnsi="Times New Roman" w:eastAsia="仿宋_GB2312" w:cs="Times New Roman"/>
        </w:rPr>
        <w:t>项目背景：新疆财经大学作为自治区重点建设高校，承担着为区域经济社会发展培养高素质财经人才的重要使命。随着高等教育改革的深入推进和学校</w:t>
      </w:r>
      <w:r>
        <w:rPr>
          <w:rFonts w:hint="default" w:ascii="Times New Roman" w:hAnsi="Times New Roman" w:cs="Times New Roman"/>
          <w:lang w:eastAsia="zh-CN"/>
        </w:rPr>
        <w:t>“</w:t>
      </w:r>
      <w:r>
        <w:rPr>
          <w:rFonts w:hint="default" w:ascii="Times New Roman" w:hAnsi="Times New Roman" w:eastAsia="仿宋_GB2312" w:cs="Times New Roman"/>
        </w:rPr>
        <w:t>双一流</w:t>
      </w:r>
      <w:r>
        <w:rPr>
          <w:rFonts w:hint="default" w:ascii="Times New Roman" w:hAnsi="Times New Roman" w:cs="Times New Roman"/>
          <w:lang w:eastAsia="zh-CN"/>
        </w:rPr>
        <w:t>”</w:t>
      </w:r>
      <w:r>
        <w:rPr>
          <w:rFonts w:hint="default" w:ascii="Times New Roman" w:hAnsi="Times New Roman" w:eastAsia="仿宋_GB2312" w:cs="Times New Roman"/>
        </w:rPr>
        <w:t>建设目标的提出，学校办学规模持续扩大，学科建设、人才培养、科学研究、社会服务等各项事业快速发展，对经费保障的需求日益增长。非财政拨款项目作为学校经费来源的重要补充渠道，主要涵盖学费收入、科研服务收入、培训收入等各类非财政性资金，对于弥补财政拨款不足、增强学校自主发展能力、提升办学质量具有关键作用。2025年，学校继续加强非财政拨款资金的统筹管理与规范使用，着力提高资金使用效益，保障各项事业健康可持续发展。</w:t>
      </w:r>
    </w:p>
    <w:p w14:paraId="46A6F136">
      <w:pPr>
        <w:keepNext w:val="0"/>
        <w:keepLines w:val="0"/>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rPr>
      </w:pPr>
      <w:r>
        <w:rPr>
          <w:rFonts w:hint="eastAsia" w:cs="Times New Roman"/>
          <w:lang w:val="en-US" w:eastAsia="zh-CN"/>
        </w:rPr>
        <w:t>6.</w:t>
      </w:r>
      <w:r>
        <w:rPr>
          <w:rFonts w:hint="default" w:ascii="Times New Roman" w:hAnsi="Times New Roman" w:eastAsia="仿宋_GB2312" w:cs="Times New Roman"/>
        </w:rPr>
        <w:t>主要内容及实施情况：2025年度非财政拨款项目资金主要用于保障学校日常运转、教学科研活动开展、人才引进与培养</w:t>
      </w:r>
      <w:r>
        <w:rPr>
          <w:rFonts w:hint="default" w:ascii="Times New Roman" w:hAnsi="Times New Roman" w:cs="Times New Roman"/>
          <w:lang w:eastAsia="zh-CN"/>
        </w:rPr>
        <w:t>、</w:t>
      </w:r>
      <w:r>
        <w:rPr>
          <w:rFonts w:hint="default" w:ascii="Times New Roman" w:hAnsi="Times New Roman" w:eastAsia="仿宋_GB2312" w:cs="Times New Roman"/>
        </w:rPr>
        <w:t>基础设施建设维护、</w:t>
      </w:r>
      <w:r>
        <w:rPr>
          <w:rFonts w:hint="eastAsia" w:cs="Times New Roman"/>
          <w:lang w:eastAsia="zh-CN"/>
        </w:rPr>
        <w:t>学生资助体系</w:t>
      </w:r>
      <w:r>
        <w:rPr>
          <w:rFonts w:hint="default" w:ascii="Times New Roman" w:hAnsi="Times New Roman" w:eastAsia="仿宋_GB2312" w:cs="Times New Roman"/>
        </w:rPr>
        <w:t>完善等方面。项目实施过程中，学校严格执行</w:t>
      </w:r>
      <w:r>
        <w:rPr>
          <w:rFonts w:hint="default" w:ascii="Times New Roman" w:hAnsi="Times New Roman" w:cs="Times New Roman"/>
          <w:lang w:eastAsia="zh-CN"/>
        </w:rPr>
        <w:t>“</w:t>
      </w:r>
      <w:r>
        <w:rPr>
          <w:rFonts w:hint="default" w:ascii="Times New Roman" w:hAnsi="Times New Roman" w:eastAsia="仿宋_GB2312" w:cs="Times New Roman"/>
        </w:rPr>
        <w:t>收支两条线</w:t>
      </w:r>
      <w:r>
        <w:rPr>
          <w:rFonts w:hint="default" w:ascii="Times New Roman" w:hAnsi="Times New Roman" w:cs="Times New Roman"/>
          <w:lang w:eastAsia="zh-CN"/>
        </w:rPr>
        <w:t>”</w:t>
      </w:r>
      <w:r>
        <w:rPr>
          <w:rFonts w:hint="default" w:ascii="Times New Roman" w:hAnsi="Times New Roman" w:eastAsia="仿宋_GB2312" w:cs="Times New Roman"/>
        </w:rPr>
        <w:t>管理规定，</w:t>
      </w:r>
      <w:r>
        <w:rPr>
          <w:rFonts w:hint="default" w:ascii="Times New Roman" w:hAnsi="Times New Roman" w:cs="Times New Roman"/>
          <w:lang w:val="en-US" w:eastAsia="zh-CN"/>
        </w:rPr>
        <w:t>学宿费</w:t>
      </w:r>
      <w:r>
        <w:rPr>
          <w:rFonts w:hint="default" w:ascii="Times New Roman" w:hAnsi="Times New Roman" w:eastAsia="仿宋_GB2312" w:cs="Times New Roman"/>
        </w:rPr>
        <w:t>收入及时足额上缴财政专户，重大支出事项经集体研究决策，确保资金使用合法合规。</w:t>
      </w:r>
    </w:p>
    <w:p w14:paraId="3EADCA49">
      <w:pPr>
        <w:keepNext w:val="0"/>
        <w:keepLines w:val="0"/>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lang w:val="en-US" w:eastAsia="zh-CN"/>
        </w:rPr>
      </w:pPr>
      <w:r>
        <w:rPr>
          <w:rFonts w:hint="eastAsia" w:cs="Times New Roman"/>
          <w:lang w:val="en-US" w:eastAsia="zh-CN"/>
        </w:rPr>
        <w:t>7.</w:t>
      </w:r>
      <w:r>
        <w:rPr>
          <w:rFonts w:hint="default" w:ascii="Times New Roman" w:hAnsi="Times New Roman" w:cs="Times New Roman"/>
          <w:lang w:eastAsia="zh-CN"/>
        </w:rPr>
        <w:t>资金投入和使用情况：2025年年初预算安排非财政拨款资金27</w:t>
      </w:r>
      <w:r>
        <w:rPr>
          <w:rFonts w:hint="eastAsia" w:cs="Times New Roman"/>
          <w:lang w:val="en-US" w:eastAsia="zh-CN"/>
        </w:rPr>
        <w:t>,</w:t>
      </w:r>
      <w:r>
        <w:rPr>
          <w:rFonts w:hint="default" w:ascii="Times New Roman" w:hAnsi="Times New Roman" w:cs="Times New Roman"/>
          <w:lang w:eastAsia="zh-CN"/>
        </w:rPr>
        <w:t>372.39万元，全年实际执行12</w:t>
      </w:r>
      <w:r>
        <w:rPr>
          <w:rFonts w:hint="eastAsia" w:cs="Times New Roman"/>
          <w:lang w:val="en-US" w:eastAsia="zh-CN"/>
        </w:rPr>
        <w:t>,</w:t>
      </w:r>
      <w:r>
        <w:rPr>
          <w:rFonts w:hint="default" w:ascii="Times New Roman" w:hAnsi="Times New Roman" w:cs="Times New Roman"/>
          <w:lang w:eastAsia="zh-CN"/>
        </w:rPr>
        <w:t>481.99万元，执行率为45.60%。</w:t>
      </w:r>
    </w:p>
    <w:p w14:paraId="677AE8D6">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rPr>
      </w:pPr>
      <w:r>
        <w:rPr>
          <w:rFonts w:hint="eastAsia" w:cs="Times New Roman"/>
          <w:lang w:val="en-US" w:eastAsia="zh-CN"/>
        </w:rPr>
        <w:t>8.</w:t>
      </w:r>
      <w:r>
        <w:rPr>
          <w:rFonts w:hint="default" w:ascii="Times New Roman" w:hAnsi="Times New Roman" w:cs="Times New Roman"/>
        </w:rPr>
        <w:t>目标完成情况</w:t>
      </w:r>
      <w:r>
        <w:rPr>
          <w:rFonts w:hint="eastAsia" w:cs="Times New Roman"/>
          <w:lang w:eastAsia="zh-CN"/>
        </w:rPr>
        <w:t>。</w:t>
      </w:r>
      <w:r>
        <w:rPr>
          <w:rFonts w:hint="eastAsia" w:ascii="仿宋_GB2312" w:hAnsi="仿宋_GB2312" w:eastAsia="仿宋_GB2312" w:cs="仿宋_GB2312"/>
          <w:b w:val="0"/>
          <w:bCs/>
        </w:rPr>
        <w:t>总体目标：通过科学统筹和规范管理非财政拨款资金，保障学校教学科研、人才培养、社会服务等各项事业高质量发展，提升学校自主办学能力和核心竞争力，为服务自治区经济社会发展提供坚实支撑。</w:t>
      </w:r>
    </w:p>
    <w:p w14:paraId="0C2E4B3B">
      <w:pPr>
        <w:pageBreakBefore w:val="0"/>
        <w:widowControl w:val="0"/>
        <w:kinsoku/>
        <w:wordWrap/>
        <w:overflowPunct/>
        <w:topLinePunct w:val="0"/>
        <w:autoSpaceDE/>
        <w:autoSpaceDN/>
        <w:bidi w:val="0"/>
        <w:adjustRightInd/>
        <w:snapToGrid/>
        <w:ind w:firstLine="640"/>
        <w:textAlignment w:val="auto"/>
        <w:rPr>
          <w:rFonts w:hint="default" w:ascii="仿宋_GB2312" w:hAnsi="仿宋_GB2312" w:eastAsia="仿宋_GB2312" w:cs="仿宋_GB2312"/>
          <w:b/>
          <w:bCs w:val="0"/>
          <w:lang w:val="en-US" w:eastAsia="zh-CN"/>
        </w:rPr>
      </w:pPr>
      <w:r>
        <w:rPr>
          <w:rFonts w:hint="default" w:ascii="Times New Roman" w:hAnsi="Times New Roman" w:cs="Times New Roman"/>
          <w:b/>
          <w:bCs w:val="0"/>
          <w:lang w:val="en-US" w:eastAsia="zh-CN"/>
        </w:rPr>
        <w:t>（1）预期完成</w:t>
      </w:r>
      <w:r>
        <w:rPr>
          <w:rFonts w:hint="eastAsia" w:ascii="仿宋_GB2312" w:hAnsi="仿宋_GB2312" w:cs="仿宋_GB2312"/>
          <w:b/>
          <w:bCs w:val="0"/>
          <w:lang w:val="en-US" w:eastAsia="zh-CN"/>
        </w:rPr>
        <w:t>目标</w:t>
      </w:r>
    </w:p>
    <w:p w14:paraId="45F4694B">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①</w:t>
      </w:r>
      <w:r>
        <w:rPr>
          <w:rFonts w:hint="default" w:ascii="Times New Roman" w:hAnsi="Times New Roman" w:cs="Times New Roman"/>
        </w:rPr>
        <w:t>根据学校近期的整体规划和社会需要，以创新教育为引领，深化人才培养模式和人才供给结构改革，按时足额发放</w:t>
      </w:r>
      <w:r>
        <w:rPr>
          <w:rFonts w:hint="default" w:ascii="Times New Roman" w:hAnsi="Times New Roman" w:cs="Times New Roman"/>
          <w:lang w:val="en-US" w:eastAsia="zh-CN"/>
        </w:rPr>
        <w:t>1288</w:t>
      </w:r>
      <w:r>
        <w:rPr>
          <w:rFonts w:hint="default" w:ascii="Times New Roman" w:hAnsi="Times New Roman" w:cs="Times New Roman"/>
        </w:rPr>
        <w:t>名教职工12个月的绩效工资</w:t>
      </w:r>
      <w:r>
        <w:rPr>
          <w:rFonts w:hint="eastAsia" w:ascii="Times New Roman" w:hAnsi="Times New Roman" w:cs="Times New Roman"/>
          <w:lang w:eastAsia="zh-CN"/>
        </w:rPr>
        <w:t>，支付</w:t>
      </w:r>
      <w:r>
        <w:rPr>
          <w:rFonts w:hint="default" w:ascii="Times New Roman" w:hAnsi="Times New Roman" w:cs="Times New Roman"/>
        </w:rPr>
        <w:t>专业建设、学科建设和教学建设等人员类支出，保证学校教学工作有序运行。</w:t>
      </w:r>
    </w:p>
    <w:p w14:paraId="7872596B">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②</w:t>
      </w:r>
      <w:r>
        <w:rPr>
          <w:rFonts w:hint="default" w:ascii="Times New Roman" w:hAnsi="Times New Roman" w:cs="Times New Roman"/>
        </w:rPr>
        <w:t>搭建交叉专业、学科合作平台</w:t>
      </w:r>
      <w:r>
        <w:rPr>
          <w:rFonts w:hint="default" w:ascii="Times New Roman" w:hAnsi="Times New Roman" w:cs="Times New Roman"/>
          <w:lang w:eastAsia="zh-CN"/>
        </w:rPr>
        <w:t>。</w:t>
      </w:r>
      <w:r>
        <w:rPr>
          <w:rFonts w:hint="default" w:ascii="Times New Roman" w:hAnsi="Times New Roman" w:cs="Times New Roman"/>
        </w:rPr>
        <w:t>强化学科内涵建设，规范重点学科建设管理，实现新增案例入库20项</w:t>
      </w:r>
      <w:r>
        <w:rPr>
          <w:rFonts w:hint="default" w:ascii="Times New Roman" w:hAnsi="Times New Roman" w:cs="Times New Roman"/>
          <w:lang w:eastAsia="zh-CN"/>
        </w:rPr>
        <w:t>，</w:t>
      </w:r>
      <w:r>
        <w:rPr>
          <w:rFonts w:hint="default" w:ascii="Times New Roman" w:hAnsi="Times New Roman" w:cs="Times New Roman"/>
          <w:lang w:val="en-US" w:eastAsia="zh-CN"/>
        </w:rPr>
        <w:t>新增</w:t>
      </w:r>
      <w:r>
        <w:rPr>
          <w:rFonts w:hint="default" w:ascii="Times New Roman" w:hAnsi="Times New Roman" w:cs="Times New Roman"/>
        </w:rPr>
        <w:t>自治区产学研联合培养研究生示范基地不少于3个</w:t>
      </w:r>
      <w:r>
        <w:rPr>
          <w:rFonts w:hint="default" w:ascii="Times New Roman" w:hAnsi="Times New Roman" w:cs="Times New Roman"/>
          <w:lang w:eastAsia="zh-CN"/>
        </w:rPr>
        <w:t>，</w:t>
      </w:r>
      <w:r>
        <w:rPr>
          <w:rFonts w:hint="default" w:ascii="Times New Roman" w:hAnsi="Times New Roman" w:cs="Times New Roman"/>
        </w:rPr>
        <w:t>资助教学改革项目10个</w:t>
      </w:r>
      <w:r>
        <w:rPr>
          <w:rFonts w:hint="default" w:ascii="Times New Roman" w:hAnsi="Times New Roman" w:cs="Times New Roman"/>
          <w:lang w:eastAsia="zh-CN"/>
        </w:rPr>
        <w:t>、</w:t>
      </w:r>
      <w:r>
        <w:rPr>
          <w:rFonts w:hint="default" w:ascii="Times New Roman" w:hAnsi="Times New Roman" w:cs="Times New Roman"/>
        </w:rPr>
        <w:t>课程思政项目8个，培育创新型、复合型高素质人才，提高学生的创新实践能力；维护学校日常运转，引进青年优秀人才2</w:t>
      </w:r>
      <w:r>
        <w:rPr>
          <w:rFonts w:hint="default" w:ascii="Times New Roman" w:hAnsi="Times New Roman" w:cs="Times New Roman"/>
          <w:lang w:val="en-US" w:eastAsia="zh-CN"/>
        </w:rPr>
        <w:t>5</w:t>
      </w:r>
      <w:r>
        <w:rPr>
          <w:rFonts w:hint="default" w:ascii="Times New Roman" w:hAnsi="Times New Roman" w:cs="Times New Roman"/>
        </w:rPr>
        <w:t>人，按时、足额支付教学建设、债务利息相关的公用经费，做好全校</w:t>
      </w:r>
      <w:r>
        <w:rPr>
          <w:rFonts w:hint="default" w:ascii="Times New Roman" w:hAnsi="Times New Roman" w:cs="Times New Roman"/>
          <w:lang w:val="en-US" w:eastAsia="zh-CN"/>
        </w:rPr>
        <w:t>2</w:t>
      </w:r>
      <w:r>
        <w:rPr>
          <w:rFonts w:hint="eastAsia" w:ascii="Times New Roman" w:hAnsi="Times New Roman" w:cs="Times New Roman"/>
          <w:lang w:val="en-US" w:eastAsia="zh-CN"/>
        </w:rPr>
        <w:t>万余名</w:t>
      </w:r>
      <w:r>
        <w:rPr>
          <w:rFonts w:hint="default" w:ascii="Times New Roman" w:hAnsi="Times New Roman" w:cs="Times New Roman"/>
        </w:rPr>
        <w:t>师生管理、教学和服务各项工作，提高师生满意度。维护学校日常运转，按时、足额支付教学建设、债务利息相关的公用经费，做好全校师生服务管理、教学及各项工作，提高师生满意度。</w:t>
      </w:r>
    </w:p>
    <w:p w14:paraId="331AE328">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③</w:t>
      </w:r>
      <w:r>
        <w:rPr>
          <w:rFonts w:hint="default" w:ascii="Times New Roman" w:hAnsi="Times New Roman" w:cs="Times New Roman"/>
        </w:rPr>
        <w:t>减少安全生产事故，保障学校后勤服务水平，做好2万余人每日餐饮服务保障和餐饮服务聘用员工管理、食品安全、消防安全等各项工作；接待师生就诊1万</w:t>
      </w:r>
      <w:r>
        <w:rPr>
          <w:rFonts w:hint="eastAsia" w:cs="Times New Roman"/>
          <w:lang w:eastAsia="zh-CN"/>
        </w:rPr>
        <w:t>余人</w:t>
      </w:r>
      <w:r>
        <w:rPr>
          <w:rFonts w:hint="default" w:ascii="Times New Roman" w:hAnsi="Times New Roman" w:cs="Times New Roman"/>
        </w:rPr>
        <w:t>次，做好学校卫生防疫、学生体检和校医院门诊工作；做好教师子女</w:t>
      </w:r>
      <w:r>
        <w:rPr>
          <w:rFonts w:hint="default" w:ascii="Times New Roman" w:hAnsi="Times New Roman" w:cs="Times New Roman"/>
          <w:lang w:val="en-US" w:eastAsia="zh-CN"/>
        </w:rPr>
        <w:t>107</w:t>
      </w:r>
      <w:r>
        <w:rPr>
          <w:rFonts w:hint="default" w:ascii="Times New Roman" w:hAnsi="Times New Roman" w:cs="Times New Roman"/>
        </w:rPr>
        <w:t>人在校幼儿园管理服务的各项工作。</w:t>
      </w:r>
    </w:p>
    <w:p w14:paraId="37D36AF1">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④</w:t>
      </w:r>
      <w:r>
        <w:rPr>
          <w:rFonts w:hint="default" w:ascii="Times New Roman" w:hAnsi="Times New Roman" w:cs="Times New Roman"/>
        </w:rPr>
        <w:t>按规定落实学生奖励和资助政策，做好学生奖学金奖励、勤工俭学和伙食补助相关资助工作，发放校级奖学金1次、勤工助学资助8次、伙食补助1次，持续提升教育公平水平，满足家庭</w:t>
      </w:r>
      <w:r>
        <w:rPr>
          <w:rFonts w:hint="eastAsia" w:ascii="Times New Roman" w:hAnsi="Times New Roman" w:cs="Times New Roman"/>
          <w:lang w:eastAsia="zh-CN"/>
        </w:rPr>
        <w:t>经济</w:t>
      </w:r>
      <w:r>
        <w:rPr>
          <w:rFonts w:hint="default" w:ascii="Times New Roman" w:hAnsi="Times New Roman" w:cs="Times New Roman"/>
        </w:rPr>
        <w:t>困难学生基本学习生活需要。</w:t>
      </w:r>
    </w:p>
    <w:p w14:paraId="51B6F200">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⑤</w:t>
      </w:r>
      <w:r>
        <w:rPr>
          <w:rFonts w:hint="default" w:ascii="Times New Roman" w:hAnsi="Times New Roman" w:cs="Times New Roman"/>
        </w:rPr>
        <w:t>通过申报国家级、省部级、厅局级各类纵向课题和服务社会的企事业单位委托横向课题120余项，完成</w:t>
      </w:r>
      <w:r>
        <w:rPr>
          <w:rFonts w:hint="eastAsia" w:cs="Times New Roman"/>
          <w:lang w:eastAsia="zh-CN"/>
        </w:rPr>
        <w:t>“</w:t>
      </w:r>
      <w:r>
        <w:rPr>
          <w:rFonts w:hint="default" w:ascii="Times New Roman" w:hAnsi="Times New Roman" w:cs="Times New Roman"/>
        </w:rPr>
        <w:t>十四五</w:t>
      </w:r>
      <w:r>
        <w:rPr>
          <w:rFonts w:hint="eastAsia" w:cs="Times New Roman"/>
          <w:lang w:eastAsia="zh-CN"/>
        </w:rPr>
        <w:t>”</w:t>
      </w:r>
      <w:r>
        <w:rPr>
          <w:rFonts w:hint="default" w:ascii="Times New Roman" w:hAnsi="Times New Roman" w:cs="Times New Roman"/>
        </w:rPr>
        <w:t>规划中202</w:t>
      </w:r>
      <w:r>
        <w:rPr>
          <w:rFonts w:hint="default" w:ascii="Times New Roman" w:hAnsi="Times New Roman" w:cs="Times New Roman"/>
          <w:lang w:val="en-US" w:eastAsia="zh-CN"/>
        </w:rPr>
        <w:t>5</w:t>
      </w:r>
      <w:r>
        <w:rPr>
          <w:rFonts w:hint="default" w:ascii="Times New Roman" w:hAnsi="Times New Roman" w:cs="Times New Roman"/>
        </w:rPr>
        <w:t>年科研工作目标任务，培养高校科研人员120余人，提高高校科学研究水平。</w:t>
      </w:r>
    </w:p>
    <w:p w14:paraId="7D21D7CF">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⑥</w:t>
      </w:r>
      <w:r>
        <w:rPr>
          <w:rFonts w:hint="default" w:ascii="Times New Roman" w:hAnsi="Times New Roman" w:cs="Times New Roman"/>
        </w:rPr>
        <w:t>开展学校维护维修等校内各类项目，改善校园基础建设和硬件设施，维持学校日常运转，改善办学条件。</w:t>
      </w:r>
    </w:p>
    <w:p w14:paraId="565E13C0">
      <w:pPr>
        <w:pageBreakBefore w:val="0"/>
        <w:widowControl w:val="0"/>
        <w:kinsoku/>
        <w:wordWrap/>
        <w:overflowPunct/>
        <w:topLinePunct w:val="0"/>
        <w:autoSpaceDE/>
        <w:autoSpaceDN/>
        <w:bidi w:val="0"/>
        <w:adjustRightInd/>
        <w:snapToGrid/>
        <w:ind w:firstLine="643"/>
        <w:textAlignment w:val="auto"/>
        <w:rPr>
          <w:rFonts w:hint="default" w:ascii="Times New Roman" w:hAnsi="Times New Roman" w:eastAsia="仿宋_GB2312" w:cs="Times New Roman"/>
          <w:b/>
          <w:bCs w:val="0"/>
        </w:rPr>
      </w:pPr>
      <w:r>
        <w:rPr>
          <w:rFonts w:hint="default" w:ascii="Times New Roman" w:hAnsi="Times New Roman" w:eastAsia="仿宋_GB2312" w:cs="Times New Roman"/>
          <w:b/>
          <w:bCs w:val="0"/>
        </w:rPr>
        <w:t>（2）实际完成目标</w:t>
      </w:r>
    </w:p>
    <w:p w14:paraId="0FF6F817">
      <w:pPr>
        <w:pageBreakBefore w:val="0"/>
        <w:widowControl w:val="0"/>
        <w:kinsoku/>
        <w:wordWrap/>
        <w:overflowPunct/>
        <w:topLinePunct w:val="0"/>
        <w:autoSpaceDE/>
        <w:autoSpaceDN/>
        <w:bidi w:val="0"/>
        <w:adjustRightInd/>
        <w:snapToGrid/>
        <w:textAlignment w:val="auto"/>
        <w:rPr>
          <w:rFonts w:hint="default" w:ascii="Times New Roman" w:hAnsi="Times New Roman" w:cs="Times New Roman"/>
        </w:rPr>
      </w:pPr>
      <w:r>
        <w:rPr>
          <w:rFonts w:hint="eastAsia" w:cs="Times New Roman"/>
          <w:lang w:val="en-US" w:eastAsia="zh-CN"/>
        </w:rPr>
        <w:t>①</w:t>
      </w:r>
      <w:r>
        <w:rPr>
          <w:rFonts w:hint="default" w:ascii="Times New Roman" w:hAnsi="Times New Roman" w:eastAsia="仿宋_GB2312" w:cs="Times New Roman"/>
        </w:rPr>
        <w:t>教育教学改革与人才供给优化</w:t>
      </w:r>
      <w:r>
        <w:rPr>
          <w:rFonts w:hint="default" w:ascii="Times New Roman" w:hAnsi="Times New Roman" w:eastAsia="仿宋_GB2312" w:cs="Times New Roman"/>
          <w:lang w:eastAsia="zh-CN"/>
        </w:rPr>
        <w:t>，</w:t>
      </w:r>
      <w:r>
        <w:rPr>
          <w:rFonts w:hint="default" w:ascii="Times New Roman" w:hAnsi="Times New Roman" w:eastAsia="仿宋_GB2312" w:cs="Times New Roman"/>
        </w:rPr>
        <w:t>按时足额发放12</w:t>
      </w:r>
      <w:r>
        <w:rPr>
          <w:rFonts w:hint="default" w:ascii="Times New Roman" w:hAnsi="Times New Roman" w:eastAsia="仿宋_GB2312" w:cs="Times New Roman"/>
          <w:lang w:val="en-US" w:eastAsia="zh-CN"/>
        </w:rPr>
        <w:t>84</w:t>
      </w:r>
      <w:r>
        <w:rPr>
          <w:rFonts w:hint="default" w:ascii="Times New Roman" w:hAnsi="Times New Roman" w:eastAsia="仿宋_GB2312" w:cs="Times New Roman"/>
        </w:rPr>
        <w:t>名教职工全年绩效工资，持续加大专业建设、学科建设和教学建设等人员类支出投入力度，</w:t>
      </w:r>
      <w:r>
        <w:rPr>
          <w:rFonts w:hint="default" w:ascii="Times New Roman" w:hAnsi="Times New Roman" w:cs="Times New Roman"/>
        </w:rPr>
        <w:t>保障教学工作有序高效运行。</w:t>
      </w:r>
    </w:p>
    <w:p w14:paraId="184541A4">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②</w:t>
      </w:r>
      <w:r>
        <w:rPr>
          <w:rFonts w:hint="default" w:ascii="Times New Roman" w:hAnsi="Times New Roman" w:cs="Times New Roman"/>
        </w:rPr>
        <w:t>学科实力持续增强</w:t>
      </w:r>
      <w:r>
        <w:rPr>
          <w:rFonts w:hint="default" w:ascii="Times New Roman" w:hAnsi="Times New Roman" w:cs="Times New Roman"/>
          <w:lang w:eastAsia="zh-CN"/>
        </w:rPr>
        <w:t>，</w:t>
      </w:r>
      <w:r>
        <w:rPr>
          <w:rFonts w:hint="default" w:ascii="Times New Roman" w:hAnsi="Times New Roman" w:cs="Times New Roman"/>
        </w:rPr>
        <w:t>引进学术骨干1名，青年优秀人才24名。应用经济学、工商管理学、统计学3个一级学科入选自治区重点学科并顺利通过验收，学科高原初步形成；其中应用经济学与工商管理学连续多年进入软科“中国最好学科排名”前30%，学科影响力持续扩大。教育教学改革成效显著。评选校级教学成果奖18项、教改项目20项、新增校级培育专业5个、培育课程1个，评选自治区课程思政示范课程5门，评选出第五批课程思政示范课程8门。研究生教育提质增效，建成自治区精品课程16门、专业学位案例库20个，建设自治区产学研联合培养研究生示范基地35个，设立校级专业学位改革示范点3个，立项自治区深化新时代教育评价改革第三批试点项目1项，深化产教融合合作平台建设。交叉学科布局取得突破，新增工商管理学一级学科博士点，新增区域国别学、马克思主义理论2个一级学科硕士点及公共管理、工程管理、数字经济、电子信息4个专业学位点，学位点总数达26个。</w:t>
      </w:r>
    </w:p>
    <w:p w14:paraId="542DD6CD">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③</w:t>
      </w:r>
      <w:r>
        <w:rPr>
          <w:rFonts w:hint="default" w:ascii="Times New Roman" w:hAnsi="Times New Roman" w:cs="Times New Roman"/>
          <w:lang w:eastAsia="zh-CN"/>
        </w:rPr>
        <w:t>校医院全年为师生提供优质医疗服务，累计接诊1.</w:t>
      </w:r>
      <w:r>
        <w:rPr>
          <w:rFonts w:hint="default" w:ascii="Times New Roman" w:hAnsi="Times New Roman" w:cs="Times New Roman"/>
          <w:lang w:val="en-US" w:eastAsia="zh-CN"/>
        </w:rPr>
        <w:t>7</w:t>
      </w:r>
      <w:r>
        <w:rPr>
          <w:rFonts w:hint="default" w:ascii="Times New Roman" w:hAnsi="Times New Roman" w:cs="Times New Roman"/>
          <w:lang w:eastAsia="zh-CN"/>
        </w:rPr>
        <w:t>万人次，协同组织健康体检约1.6万人次，切实筑牢校园健康防线；校幼儿园精心培育教师子女</w:t>
      </w:r>
      <w:r>
        <w:rPr>
          <w:rFonts w:hint="default" w:ascii="Times New Roman" w:hAnsi="Times New Roman" w:cs="Times New Roman"/>
          <w:lang w:val="en-US" w:eastAsia="zh-CN"/>
        </w:rPr>
        <w:t>82</w:t>
      </w:r>
      <w:r>
        <w:rPr>
          <w:rFonts w:hint="default" w:ascii="Times New Roman" w:hAnsi="Times New Roman" w:cs="Times New Roman"/>
          <w:lang w:eastAsia="zh-CN"/>
        </w:rPr>
        <w:t>人，以专业的教育服务和温馨的成长环境赢得了97%的家长满意度；餐饮服务部全力保障2万余名师生日常用餐需求，全年开展食品安全专项检查</w:t>
      </w:r>
      <w:r>
        <w:rPr>
          <w:rFonts w:hint="default" w:ascii="Times New Roman" w:hAnsi="Times New Roman" w:cs="Times New Roman"/>
          <w:lang w:val="en-US" w:eastAsia="zh-CN"/>
        </w:rPr>
        <w:t>10</w:t>
      </w:r>
      <w:r>
        <w:rPr>
          <w:rFonts w:hint="default" w:ascii="Times New Roman" w:hAnsi="Times New Roman" w:cs="Times New Roman"/>
          <w:lang w:eastAsia="zh-CN"/>
        </w:rPr>
        <w:t>次，确保师生</w:t>
      </w:r>
      <w:r>
        <w:rPr>
          <w:rFonts w:hint="eastAsia" w:ascii="Times New Roman" w:hAnsi="Times New Roman" w:cs="Times New Roman"/>
          <w:lang w:eastAsia="zh-CN"/>
        </w:rPr>
        <w:t>“舌</w:t>
      </w:r>
      <w:r>
        <w:rPr>
          <w:rFonts w:hint="default" w:ascii="Times New Roman" w:hAnsi="Times New Roman" w:cs="Times New Roman"/>
          <w:lang w:eastAsia="zh-CN"/>
        </w:rPr>
        <w:t>尖上的安全</w:t>
      </w:r>
      <w:r>
        <w:rPr>
          <w:rFonts w:hint="eastAsia" w:ascii="Times New Roman" w:hAnsi="Times New Roman" w:cs="Times New Roman"/>
          <w:lang w:eastAsia="zh-CN"/>
        </w:rPr>
        <w:t>”，</w:t>
      </w:r>
      <w:r>
        <w:rPr>
          <w:rFonts w:hint="default" w:ascii="Times New Roman" w:hAnsi="Times New Roman" w:cs="Times New Roman"/>
          <w:lang w:eastAsia="zh-CN"/>
        </w:rPr>
        <w:t>为校园生活提供坚实后勤保障。</w:t>
      </w:r>
    </w:p>
    <w:p w14:paraId="7801D646">
      <w:pPr>
        <w:pageBreakBefore w:val="0"/>
        <w:widowControl w:val="0"/>
        <w:kinsoku/>
        <w:wordWrap/>
        <w:overflowPunct/>
        <w:topLinePunct w:val="0"/>
        <w:autoSpaceDE/>
        <w:autoSpaceDN/>
        <w:bidi w:val="0"/>
        <w:adjustRightInd/>
        <w:snapToGrid/>
        <w:textAlignment w:val="auto"/>
        <w:rPr>
          <w:rFonts w:hint="default" w:ascii="Times New Roman" w:hAnsi="Times New Roman" w:cs="Times New Roman"/>
        </w:rPr>
      </w:pPr>
      <w:r>
        <w:rPr>
          <w:rFonts w:hint="eastAsia" w:cs="Times New Roman"/>
          <w:lang w:val="en-US" w:eastAsia="zh-CN"/>
        </w:rPr>
        <w:t>④</w:t>
      </w:r>
      <w:r>
        <w:rPr>
          <w:rFonts w:hint="default" w:ascii="Times New Roman" w:hAnsi="Times New Roman" w:cs="Times New Roman"/>
        </w:rPr>
        <w:t>全面落实学生奖励政策，全年发放校级奖学金1次（惠及</w:t>
      </w:r>
      <w:r>
        <w:rPr>
          <w:rFonts w:hint="default" w:ascii="Times New Roman" w:hAnsi="Times New Roman" w:cs="Times New Roman"/>
          <w:lang w:val="en-US" w:eastAsia="zh-CN"/>
        </w:rPr>
        <w:t>795</w:t>
      </w:r>
      <w:r>
        <w:rPr>
          <w:rFonts w:hint="default" w:ascii="Times New Roman" w:hAnsi="Times New Roman" w:cs="Times New Roman"/>
        </w:rPr>
        <w:t>人）、勤工助学资助8次（覆盖</w:t>
      </w:r>
      <w:r>
        <w:rPr>
          <w:rFonts w:hint="default" w:ascii="Times New Roman" w:hAnsi="Times New Roman" w:cs="Times New Roman"/>
          <w:lang w:val="en-US" w:eastAsia="zh-CN"/>
        </w:rPr>
        <w:t>2176</w:t>
      </w:r>
      <w:r>
        <w:rPr>
          <w:rFonts w:hint="default" w:ascii="Times New Roman" w:hAnsi="Times New Roman" w:cs="Times New Roman"/>
        </w:rPr>
        <w:t>人次）、伙食补助1次，资助总额达</w:t>
      </w:r>
      <w:r>
        <w:rPr>
          <w:rFonts w:hint="default" w:ascii="Times New Roman" w:hAnsi="Times New Roman" w:cs="Times New Roman"/>
          <w:lang w:val="en-US" w:eastAsia="zh-CN"/>
        </w:rPr>
        <w:t>319.37</w:t>
      </w:r>
      <w:r>
        <w:rPr>
          <w:rFonts w:hint="default" w:ascii="Times New Roman" w:hAnsi="Times New Roman" w:cs="Times New Roman"/>
        </w:rPr>
        <w:t>万元，家庭经济困难学生受助率100%，通过精准资助和动态调整机制，切实保障家庭经济困难学生的基本学习生活需求，提升教育公平水平。</w:t>
      </w:r>
    </w:p>
    <w:p w14:paraId="45DCCBF7">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eastAsia" w:cs="Times New Roman"/>
          <w:lang w:val="en-US" w:eastAsia="zh-CN"/>
        </w:rPr>
        <w:t>⑤</w:t>
      </w:r>
      <w:r>
        <w:rPr>
          <w:rFonts w:hint="default" w:ascii="Times New Roman" w:hAnsi="Times New Roman" w:cs="Times New Roman"/>
        </w:rPr>
        <w:t>科研创新与成果突破</w:t>
      </w:r>
      <w:r>
        <w:rPr>
          <w:rFonts w:hint="default" w:ascii="Times New Roman" w:hAnsi="Times New Roman" w:cs="Times New Roman"/>
          <w:lang w:eastAsia="zh-CN"/>
        </w:rPr>
        <w:t>，</w:t>
      </w:r>
      <w:r>
        <w:rPr>
          <w:rFonts w:hint="default" w:ascii="Times New Roman" w:hAnsi="Times New Roman" w:cs="Times New Roman"/>
        </w:rPr>
        <w:t>超额完成“十四五”科研目标，获批国家级课题</w:t>
      </w:r>
      <w:r>
        <w:rPr>
          <w:rFonts w:hint="default" w:ascii="Times New Roman" w:hAnsi="Times New Roman" w:cs="Times New Roman"/>
          <w:lang w:val="en-US" w:eastAsia="zh-CN"/>
        </w:rPr>
        <w:t>16</w:t>
      </w:r>
      <w:r>
        <w:rPr>
          <w:rFonts w:hint="default" w:ascii="Times New Roman" w:hAnsi="Times New Roman" w:cs="Times New Roman"/>
        </w:rPr>
        <w:t>项、省部级课题</w:t>
      </w:r>
      <w:r>
        <w:rPr>
          <w:rFonts w:hint="default" w:ascii="Times New Roman" w:hAnsi="Times New Roman" w:cs="Times New Roman"/>
          <w:lang w:val="en-US" w:eastAsia="zh-CN"/>
        </w:rPr>
        <w:t>93</w:t>
      </w:r>
      <w:r>
        <w:rPr>
          <w:rFonts w:hint="default" w:ascii="Times New Roman" w:hAnsi="Times New Roman" w:cs="Times New Roman"/>
        </w:rPr>
        <w:t>项、厅局级课题</w:t>
      </w:r>
      <w:r>
        <w:rPr>
          <w:rFonts w:hint="default" w:ascii="Times New Roman" w:hAnsi="Times New Roman" w:cs="Times New Roman"/>
          <w:lang w:val="en-US" w:eastAsia="zh-CN"/>
        </w:rPr>
        <w:t>127</w:t>
      </w:r>
      <w:r>
        <w:rPr>
          <w:rFonts w:hint="default" w:ascii="Times New Roman" w:hAnsi="Times New Roman" w:cs="Times New Roman"/>
        </w:rPr>
        <w:t>项、横向课题</w:t>
      </w:r>
      <w:r>
        <w:rPr>
          <w:rFonts w:hint="default" w:ascii="Times New Roman" w:hAnsi="Times New Roman" w:cs="Times New Roman"/>
          <w:lang w:val="en-US" w:eastAsia="zh-CN"/>
        </w:rPr>
        <w:t>139</w:t>
      </w:r>
      <w:r>
        <w:rPr>
          <w:rFonts w:hint="default" w:ascii="Times New Roman" w:hAnsi="Times New Roman" w:cs="Times New Roman"/>
        </w:rPr>
        <w:t>项，总立项</w:t>
      </w:r>
      <w:r>
        <w:rPr>
          <w:rFonts w:hint="default" w:ascii="Times New Roman" w:hAnsi="Times New Roman" w:cs="Times New Roman"/>
          <w:lang w:val="en-US" w:eastAsia="zh-CN"/>
        </w:rPr>
        <w:t>375</w:t>
      </w:r>
      <w:r>
        <w:rPr>
          <w:rFonts w:hint="default" w:ascii="Times New Roman" w:hAnsi="Times New Roman" w:cs="Times New Roman"/>
        </w:rPr>
        <w:t>项</w:t>
      </w:r>
      <w:r>
        <w:rPr>
          <w:rFonts w:hint="default" w:ascii="Times New Roman" w:hAnsi="Times New Roman" w:cs="Times New Roman"/>
          <w:lang w:eastAsia="zh-CN"/>
        </w:rPr>
        <w:t>。</w:t>
      </w:r>
      <w:r>
        <w:rPr>
          <w:rFonts w:hint="default" w:ascii="Times New Roman" w:hAnsi="Times New Roman" w:cs="Times New Roman"/>
        </w:rPr>
        <w:t>新增一级学科博士学位授予点1个、一级学科硕士学位授予点1个、硕士专业学位类别2个；现有一级学科博士学位授予点2个、一级学科硕士学位授予点9个、硕士专业学位类别15个；导师队伍扩容至599人，科研实力进一步增强。</w:t>
      </w:r>
    </w:p>
    <w:p w14:paraId="5B73C2F2">
      <w:pPr>
        <w:pageBreakBefore w:val="0"/>
        <w:widowControl w:val="0"/>
        <w:kinsoku/>
        <w:wordWrap/>
        <w:overflowPunct/>
        <w:topLinePunct w:val="0"/>
        <w:autoSpaceDE/>
        <w:autoSpaceDN/>
        <w:bidi w:val="0"/>
        <w:adjustRightInd/>
        <w:snapToGrid/>
        <w:textAlignment w:val="auto"/>
        <w:rPr>
          <w:rFonts w:hint="eastAsia" w:cs="Times New Roman"/>
          <w:lang w:val="en-US" w:eastAsia="zh-CN"/>
        </w:rPr>
      </w:pPr>
      <w:r>
        <w:rPr>
          <w:rFonts w:hint="eastAsia" w:cs="Times New Roman"/>
          <w:lang w:val="en-US" w:eastAsia="zh-CN"/>
        </w:rPr>
        <w:t>⑥</w:t>
      </w:r>
      <w:r>
        <w:rPr>
          <w:rFonts w:hint="default" w:ascii="Times New Roman" w:hAnsi="Times New Roman" w:cs="Times New Roman"/>
        </w:rPr>
        <w:t>改善校园基础建设和硬件设施。综合教学楼建成投用，优化教学科研空间布局</w:t>
      </w:r>
      <w:r>
        <w:rPr>
          <w:rFonts w:hint="eastAsia" w:cs="Times New Roman"/>
          <w:lang w:eastAsia="zh-CN"/>
        </w:rPr>
        <w:t>，</w:t>
      </w:r>
      <w:r>
        <w:rPr>
          <w:rFonts w:hint="default" w:ascii="Times New Roman" w:hAnsi="Times New Roman" w:cs="Times New Roman"/>
        </w:rPr>
        <w:t>提升校园硬件设施水平。全年完成综合教学楼等水电单独计量、北校区办公室及零星维修、9号公寓配电室电力增容、部分楼宇粉刷、校本部公寓办公室</w:t>
      </w:r>
      <w:r>
        <w:rPr>
          <w:rFonts w:hint="eastAsia" w:ascii="Times New Roman" w:hAnsi="Times New Roman" w:cs="Times New Roman"/>
          <w:lang w:eastAsia="zh-CN"/>
        </w:rPr>
        <w:t>学生宿舍</w:t>
      </w:r>
      <w:r>
        <w:rPr>
          <w:rFonts w:hint="eastAsia" w:cs="Times New Roman"/>
          <w:lang w:val="en-US" w:eastAsia="zh-CN"/>
        </w:rPr>
        <w:t>改造</w:t>
      </w:r>
      <w:r>
        <w:rPr>
          <w:rFonts w:hint="default" w:ascii="Times New Roman" w:hAnsi="Times New Roman" w:cs="Times New Roman"/>
        </w:rPr>
        <w:t>等重点项目。所有项目均保质保量按期完工，有效改善了校园基础建设与硬件设施，切实保障学校日常平稳运转，优化办学基础条件，夯实学校</w:t>
      </w:r>
      <w:r>
        <w:rPr>
          <w:rFonts w:hint="eastAsia" w:cs="Times New Roman"/>
          <w:lang w:eastAsia="zh-CN"/>
        </w:rPr>
        <w:t>办学</w:t>
      </w:r>
      <w:r>
        <w:rPr>
          <w:rFonts w:hint="default" w:ascii="Times New Roman" w:hAnsi="Times New Roman" w:cs="Times New Roman"/>
        </w:rPr>
        <w:t>基础硬件设施支撑。</w:t>
      </w:r>
    </w:p>
    <w:p w14:paraId="4F9CBC53">
      <w:pPr>
        <w:pStyle w:val="2"/>
        <w:numPr>
          <w:ilvl w:val="0"/>
          <w:numId w:val="1"/>
        </w:numPr>
        <w:ind w:firstLine="640"/>
        <w:rPr>
          <w:rFonts w:hint="default" w:ascii="Times New Roman" w:hAnsi="Times New Roman" w:cs="Times New Roman"/>
        </w:rPr>
      </w:pPr>
      <w:r>
        <w:rPr>
          <w:rFonts w:hint="default" w:ascii="Times New Roman" w:hAnsi="Times New Roman" w:cs="Times New Roman"/>
        </w:rPr>
        <w:t>绩效检查指标（详见项目支出绩效自评表）</w:t>
      </w:r>
    </w:p>
    <w:p w14:paraId="1658AF2B">
      <w:pPr>
        <w:pStyle w:val="2"/>
        <w:ind w:firstLine="320" w:firstLineChars="100"/>
        <w:rPr>
          <w:rFonts w:hint="eastAsia" w:ascii="楷体_GB2312" w:hAnsi="楷体_GB2312" w:eastAsia="楷体_GB2312" w:cs="楷体_GB2312"/>
          <w:b w:val="0"/>
          <w:bCs w:val="0"/>
        </w:rPr>
      </w:pP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lang w:val="en-US" w:eastAsia="zh-CN"/>
        </w:rPr>
        <w:t>一</w:t>
      </w: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rPr>
        <w:t>基本信息</w:t>
      </w:r>
    </w:p>
    <w:tbl>
      <w:tblPr>
        <w:tblStyle w:val="8"/>
        <w:tblpPr w:leftFromText="180" w:rightFromText="180" w:vertAnchor="text" w:horzAnchor="page" w:tblpX="2137" w:tblpY="368"/>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2256"/>
        <w:gridCol w:w="2125"/>
        <w:gridCol w:w="1793"/>
      </w:tblGrid>
      <w:tr w14:paraId="5A85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3D06DF6D">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项目单位</w:t>
            </w:r>
          </w:p>
        </w:tc>
        <w:tc>
          <w:tcPr>
            <w:tcW w:w="1324" w:type="pct"/>
            <w:noWrap w:val="0"/>
            <w:vAlign w:val="top"/>
          </w:tcPr>
          <w:p w14:paraId="527D2D4D">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新疆财经大学</w:t>
            </w:r>
          </w:p>
        </w:tc>
        <w:tc>
          <w:tcPr>
            <w:tcW w:w="1247" w:type="pct"/>
            <w:noWrap w:val="0"/>
            <w:vAlign w:val="top"/>
          </w:tcPr>
          <w:p w14:paraId="368AC287">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项目负责人</w:t>
            </w:r>
          </w:p>
        </w:tc>
        <w:tc>
          <w:tcPr>
            <w:tcW w:w="1052" w:type="pct"/>
            <w:noWrap w:val="0"/>
            <w:vAlign w:val="top"/>
          </w:tcPr>
          <w:p w14:paraId="61687C98">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居来提·吐尔地</w:t>
            </w:r>
          </w:p>
        </w:tc>
      </w:tr>
      <w:tr w14:paraId="5D29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3D2770F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联系人</w:t>
            </w:r>
          </w:p>
        </w:tc>
        <w:tc>
          <w:tcPr>
            <w:tcW w:w="1324" w:type="pct"/>
            <w:noWrap w:val="0"/>
            <w:vAlign w:val="top"/>
          </w:tcPr>
          <w:p w14:paraId="557C3E00">
            <w:pPr>
              <w:ind w:firstLine="0" w:firstLineChars="0"/>
              <w:jc w:val="center"/>
              <w:rPr>
                <w:rFonts w:hint="eastAsia" w:ascii="Times New Roman" w:hAnsi="Times New Roman" w:eastAsia="宋体" w:cs="Times New Roman"/>
                <w:sz w:val="21"/>
                <w:szCs w:val="21"/>
                <w:lang w:eastAsia="zh-CN"/>
              </w:rPr>
            </w:pPr>
            <w:r>
              <w:rPr>
                <w:rFonts w:hint="eastAsia" w:eastAsia="宋体" w:cs="Times New Roman"/>
                <w:sz w:val="21"/>
                <w:szCs w:val="21"/>
                <w:lang w:val="en-US" w:eastAsia="zh-CN"/>
              </w:rPr>
              <w:t>盛苑青</w:t>
            </w:r>
          </w:p>
        </w:tc>
        <w:tc>
          <w:tcPr>
            <w:tcW w:w="1247" w:type="pct"/>
            <w:noWrap w:val="0"/>
            <w:vAlign w:val="top"/>
          </w:tcPr>
          <w:p w14:paraId="6F79462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联系电话</w:t>
            </w:r>
          </w:p>
        </w:tc>
        <w:tc>
          <w:tcPr>
            <w:tcW w:w="1052" w:type="pct"/>
            <w:noWrap w:val="0"/>
            <w:vAlign w:val="top"/>
          </w:tcPr>
          <w:p w14:paraId="7B40A059">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0991-7842044</w:t>
            </w:r>
          </w:p>
        </w:tc>
      </w:tr>
      <w:tr w14:paraId="0A72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169FC10D">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项目计划开始时间</w:t>
            </w:r>
          </w:p>
        </w:tc>
        <w:tc>
          <w:tcPr>
            <w:tcW w:w="1324" w:type="pct"/>
            <w:noWrap w:val="0"/>
            <w:vAlign w:val="top"/>
          </w:tcPr>
          <w:p w14:paraId="37001396">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-01-01</w:t>
            </w:r>
          </w:p>
        </w:tc>
        <w:tc>
          <w:tcPr>
            <w:tcW w:w="1247" w:type="pct"/>
            <w:noWrap w:val="0"/>
            <w:vAlign w:val="top"/>
          </w:tcPr>
          <w:p w14:paraId="4EB0149B">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项目计划结束时间</w:t>
            </w:r>
          </w:p>
        </w:tc>
        <w:tc>
          <w:tcPr>
            <w:tcW w:w="1052" w:type="pct"/>
            <w:noWrap w:val="0"/>
            <w:vAlign w:val="top"/>
          </w:tcPr>
          <w:p w14:paraId="4361EBE4">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-12-31</w:t>
            </w:r>
          </w:p>
        </w:tc>
      </w:tr>
      <w:tr w14:paraId="38F9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7C76C1FE">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项目实际开始时间</w:t>
            </w:r>
          </w:p>
        </w:tc>
        <w:tc>
          <w:tcPr>
            <w:tcW w:w="1324" w:type="pct"/>
            <w:noWrap w:val="0"/>
            <w:vAlign w:val="top"/>
          </w:tcPr>
          <w:p w14:paraId="2FDC0F31">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-01-01</w:t>
            </w:r>
          </w:p>
        </w:tc>
        <w:tc>
          <w:tcPr>
            <w:tcW w:w="1247" w:type="pct"/>
            <w:noWrap w:val="0"/>
            <w:vAlign w:val="top"/>
          </w:tcPr>
          <w:p w14:paraId="70FAB3D2">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项目实际结束时间</w:t>
            </w:r>
          </w:p>
        </w:tc>
        <w:tc>
          <w:tcPr>
            <w:tcW w:w="1052" w:type="pct"/>
            <w:noWrap w:val="0"/>
            <w:vAlign w:val="top"/>
          </w:tcPr>
          <w:p w14:paraId="1952E0C1">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-12-31</w:t>
            </w:r>
          </w:p>
        </w:tc>
      </w:tr>
      <w:tr w14:paraId="3BC4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74B9C739">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评价开始日期</w:t>
            </w:r>
          </w:p>
        </w:tc>
        <w:tc>
          <w:tcPr>
            <w:tcW w:w="1324" w:type="pct"/>
            <w:noWrap w:val="0"/>
            <w:vAlign w:val="top"/>
          </w:tcPr>
          <w:p w14:paraId="6E364E23">
            <w:pPr>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202</w:t>
            </w:r>
            <w:r>
              <w:rPr>
                <w:rFonts w:hint="default" w:ascii="Times New Roman" w:hAnsi="Times New Roman" w:eastAsia="宋体" w:cs="Times New Roman"/>
                <w:color w:val="auto"/>
                <w:sz w:val="21"/>
                <w:szCs w:val="21"/>
                <w:lang w:val="en-US" w:eastAsia="zh-CN"/>
              </w:rPr>
              <w:t>6</w:t>
            </w:r>
            <w:r>
              <w:rPr>
                <w:rFonts w:hint="default" w:ascii="Times New Roman" w:hAnsi="Times New Roman" w:eastAsia="宋体" w:cs="Times New Roman"/>
                <w:color w:val="auto"/>
                <w:sz w:val="21"/>
                <w:szCs w:val="21"/>
              </w:rPr>
              <w:t>-03-</w:t>
            </w:r>
            <w:r>
              <w:rPr>
                <w:rFonts w:hint="eastAsia" w:eastAsia="宋体" w:cs="Times New Roman"/>
                <w:color w:val="auto"/>
                <w:sz w:val="21"/>
                <w:szCs w:val="21"/>
                <w:lang w:val="en-US" w:eastAsia="zh-CN"/>
              </w:rPr>
              <w:t>12</w:t>
            </w:r>
          </w:p>
        </w:tc>
        <w:tc>
          <w:tcPr>
            <w:tcW w:w="1247" w:type="pct"/>
            <w:noWrap w:val="0"/>
            <w:vAlign w:val="top"/>
          </w:tcPr>
          <w:p w14:paraId="26866727">
            <w:pPr>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评价结束日期</w:t>
            </w:r>
          </w:p>
        </w:tc>
        <w:tc>
          <w:tcPr>
            <w:tcW w:w="1052" w:type="pct"/>
            <w:noWrap w:val="0"/>
            <w:vAlign w:val="top"/>
          </w:tcPr>
          <w:p w14:paraId="24BC4946">
            <w:pPr>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202</w:t>
            </w:r>
            <w:r>
              <w:rPr>
                <w:rFonts w:hint="default" w:ascii="Times New Roman" w:hAnsi="Times New Roman" w:eastAsia="宋体" w:cs="Times New Roman"/>
                <w:color w:val="auto"/>
                <w:sz w:val="21"/>
                <w:szCs w:val="21"/>
                <w:lang w:val="en-US" w:eastAsia="zh-CN"/>
              </w:rPr>
              <w:t>6</w:t>
            </w:r>
            <w:r>
              <w:rPr>
                <w:rFonts w:hint="default" w:ascii="Times New Roman" w:hAnsi="Times New Roman" w:eastAsia="宋体" w:cs="Times New Roman"/>
                <w:color w:val="auto"/>
                <w:sz w:val="21"/>
                <w:szCs w:val="21"/>
              </w:rPr>
              <w:t>-03-</w:t>
            </w:r>
            <w:r>
              <w:rPr>
                <w:rFonts w:hint="eastAsia" w:eastAsia="宋体" w:cs="Times New Roman"/>
                <w:color w:val="auto"/>
                <w:sz w:val="21"/>
                <w:szCs w:val="21"/>
                <w:lang w:val="en-US" w:eastAsia="zh-CN"/>
              </w:rPr>
              <w:t>24</w:t>
            </w:r>
          </w:p>
        </w:tc>
      </w:tr>
      <w:tr w14:paraId="7A75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76" w:type="pct"/>
            <w:noWrap w:val="0"/>
            <w:vAlign w:val="top"/>
          </w:tcPr>
          <w:p w14:paraId="066F52EC">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绩效目标评价得分</w:t>
            </w:r>
          </w:p>
        </w:tc>
        <w:tc>
          <w:tcPr>
            <w:tcW w:w="1324" w:type="pct"/>
            <w:noWrap w:val="0"/>
            <w:vAlign w:val="top"/>
          </w:tcPr>
          <w:p w14:paraId="19198298">
            <w:pPr>
              <w:ind w:firstLine="0" w:firstLineChars="0"/>
              <w:jc w:val="center"/>
              <w:rPr>
                <w:rFonts w:hint="default" w:ascii="Times New Roman" w:hAnsi="Times New Roman" w:eastAsia="宋体" w:cs="Times New Roman"/>
                <w:color w:val="0000FF"/>
                <w:sz w:val="21"/>
                <w:szCs w:val="21"/>
                <w:lang w:val="en-US" w:eastAsia="zh-CN"/>
              </w:rPr>
            </w:pPr>
            <w:r>
              <w:rPr>
                <w:rFonts w:hint="eastAsia" w:eastAsia="宋体" w:cs="Times New Roman"/>
                <w:color w:val="auto"/>
                <w:sz w:val="21"/>
                <w:szCs w:val="21"/>
                <w:lang w:val="en-US" w:eastAsia="zh-CN"/>
              </w:rPr>
              <w:t>90</w:t>
            </w:r>
          </w:p>
        </w:tc>
        <w:tc>
          <w:tcPr>
            <w:tcW w:w="1247" w:type="pct"/>
            <w:noWrap w:val="0"/>
            <w:vAlign w:val="top"/>
          </w:tcPr>
          <w:p w14:paraId="1C705EAC">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绩效目标评价等级</w:t>
            </w:r>
          </w:p>
        </w:tc>
        <w:tc>
          <w:tcPr>
            <w:tcW w:w="1052" w:type="pct"/>
            <w:noWrap w:val="0"/>
            <w:vAlign w:val="top"/>
          </w:tcPr>
          <w:p w14:paraId="66496901">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优秀</w:t>
            </w:r>
          </w:p>
        </w:tc>
      </w:tr>
      <w:tr w14:paraId="7499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76" w:type="pct"/>
            <w:noWrap w:val="0"/>
            <w:vAlign w:val="top"/>
          </w:tcPr>
          <w:p w14:paraId="7A0C0CC5">
            <w:pPr>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预算执行率得分：</w:t>
            </w:r>
          </w:p>
        </w:tc>
        <w:tc>
          <w:tcPr>
            <w:tcW w:w="1324" w:type="pct"/>
            <w:noWrap w:val="0"/>
            <w:vAlign w:val="top"/>
          </w:tcPr>
          <w:p w14:paraId="10B88D29">
            <w:pPr>
              <w:ind w:firstLine="0" w:firstLineChars="0"/>
              <w:jc w:val="center"/>
              <w:rPr>
                <w:rFonts w:hint="eastAsia" w:ascii="Times New Roman" w:hAnsi="Times New Roman" w:eastAsia="宋体" w:cs="Times New Roman"/>
                <w:color w:val="auto"/>
                <w:sz w:val="21"/>
                <w:szCs w:val="21"/>
                <w:lang w:eastAsia="zh-CN"/>
              </w:rPr>
            </w:pPr>
            <w:r>
              <w:rPr>
                <w:rFonts w:hint="eastAsia" w:eastAsia="宋体" w:cs="Times New Roman"/>
                <w:color w:val="auto"/>
                <w:sz w:val="21"/>
                <w:szCs w:val="21"/>
                <w:lang w:val="en-US" w:eastAsia="zh-CN"/>
              </w:rPr>
              <w:t>0</w:t>
            </w:r>
          </w:p>
        </w:tc>
        <w:tc>
          <w:tcPr>
            <w:tcW w:w="1247" w:type="pct"/>
            <w:noWrap w:val="0"/>
            <w:vAlign w:val="top"/>
          </w:tcPr>
          <w:p w14:paraId="6F52A605">
            <w:pPr>
              <w:ind w:firstLine="0" w:firstLineChars="0"/>
              <w:jc w:val="center"/>
              <w:rPr>
                <w:rFonts w:hint="eastAsia" w:ascii="Times New Roman" w:hAnsi="Times New Roman" w:eastAsia="宋体" w:cs="Times New Roman"/>
                <w:sz w:val="21"/>
                <w:szCs w:val="21"/>
                <w:lang w:val="en-US" w:eastAsia="zh-CN"/>
              </w:rPr>
            </w:pPr>
            <w:r>
              <w:rPr>
                <w:rFonts w:hint="eastAsia" w:eastAsia="宋体" w:cs="Times New Roman"/>
                <w:sz w:val="21"/>
                <w:szCs w:val="21"/>
                <w:lang w:val="en-US" w:eastAsia="zh-CN"/>
              </w:rPr>
              <w:t>总体完成率</w:t>
            </w:r>
          </w:p>
        </w:tc>
        <w:tc>
          <w:tcPr>
            <w:tcW w:w="1052" w:type="pct"/>
            <w:noWrap w:val="0"/>
            <w:vAlign w:val="top"/>
          </w:tcPr>
          <w:p w14:paraId="39049B32">
            <w:pPr>
              <w:ind w:firstLine="0" w:firstLineChars="0"/>
              <w:jc w:val="center"/>
              <w:rPr>
                <w:rFonts w:hint="default" w:ascii="Times New Roman" w:hAnsi="Times New Roman" w:eastAsia="宋体" w:cs="Times New Roman"/>
                <w:sz w:val="21"/>
                <w:szCs w:val="21"/>
                <w:lang w:val="en-US" w:eastAsia="zh-CN"/>
              </w:rPr>
            </w:pPr>
            <w:r>
              <w:rPr>
                <w:rFonts w:hint="eastAsia" w:eastAsia="宋体" w:cs="Times New Roman"/>
                <w:sz w:val="21"/>
                <w:szCs w:val="21"/>
                <w:lang w:val="en-US" w:eastAsia="zh-CN"/>
              </w:rPr>
              <w:t>100</w:t>
            </w:r>
          </w:p>
        </w:tc>
      </w:tr>
    </w:tbl>
    <w:p w14:paraId="53F932B7">
      <w:pPr>
        <w:rPr>
          <w:rFonts w:hint="default"/>
        </w:rPr>
      </w:pPr>
    </w:p>
    <w:p w14:paraId="321E1615">
      <w:pPr>
        <w:ind w:left="0" w:leftChars="0" w:firstLine="0" w:firstLineChars="0"/>
        <w:rPr>
          <w:rFonts w:hint="default"/>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800" w:bottom="1440" w:left="1800" w:header="851" w:footer="992" w:gutter="0"/>
          <w:pgNumType w:start="1"/>
          <w:cols w:space="720" w:num="1"/>
          <w:docGrid w:type="lines" w:linePitch="312" w:charSpace="0"/>
        </w:sectPr>
      </w:pPr>
    </w:p>
    <w:p w14:paraId="7E8350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rPr>
      </w:pP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lang w:val="en-US" w:eastAsia="zh-CN"/>
        </w:rPr>
        <w:t>二</w:t>
      </w: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rPr>
        <w:t>项目主要经验总结</w:t>
      </w:r>
    </w:p>
    <w:p w14:paraId="5015DA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pPr>
      <w:r>
        <w:rPr>
          <w:rFonts w:hint="eastAsia" w:cs="Times New Roman"/>
          <w:lang w:val="en-US" w:eastAsia="zh-CN"/>
        </w:rPr>
        <w:t>1.</w:t>
      </w:r>
      <w:r>
        <w:rPr>
          <w:rFonts w:hint="default" w:ascii="Times New Roman" w:hAnsi="Times New Roman" w:cs="Times New Roman"/>
        </w:rPr>
        <w:t>学生资助方面：一是严格认定资助对象，</w:t>
      </w:r>
      <w:r>
        <w:rPr>
          <w:rFonts w:hint="default" w:ascii="Times New Roman" w:hAnsi="Times New Roman" w:cs="Times New Roman"/>
          <w:lang w:eastAsia="zh-CN"/>
        </w:rPr>
        <w:t>采用材料审查</w:t>
      </w:r>
      <w:r>
        <w:rPr>
          <w:rFonts w:hint="default" w:ascii="Times New Roman" w:hAnsi="Times New Roman" w:cs="Times New Roman"/>
        </w:rPr>
        <w:t>与实地走访相结合</w:t>
      </w:r>
      <w:r>
        <w:rPr>
          <w:rFonts w:hint="default" w:ascii="Times New Roman" w:hAnsi="Times New Roman" w:cs="Times New Roman"/>
          <w:lang w:val="en-US" w:eastAsia="zh-CN"/>
        </w:rPr>
        <w:t>的方式</w:t>
      </w:r>
      <w:r>
        <w:rPr>
          <w:rFonts w:hint="default" w:ascii="Times New Roman" w:hAnsi="Times New Roman" w:cs="Times New Roman"/>
        </w:rPr>
        <w:t>，</w:t>
      </w:r>
      <w:r>
        <w:rPr>
          <w:rFonts w:hint="default" w:ascii="Times New Roman" w:hAnsi="Times New Roman" w:cs="Times New Roman"/>
          <w:lang w:eastAsia="zh-CN"/>
        </w:rPr>
        <w:t>保证精准触及家庭经济困难学生</w:t>
      </w:r>
      <w:r>
        <w:rPr>
          <w:rFonts w:hint="default" w:ascii="Times New Roman" w:hAnsi="Times New Roman" w:cs="Times New Roman"/>
        </w:rPr>
        <w:t>；二是规范资金管理流程，实行专户管理、专款专用，提高资金使用效益；三是建立动态调整机制，根据学生经济状况变化及时优化资助方案；四是整合资助资源，统筹</w:t>
      </w:r>
      <w:r>
        <w:rPr>
          <w:rFonts w:hint="default" w:ascii="Times New Roman" w:hAnsi="Times New Roman" w:cs="Times New Roman"/>
          <w:lang w:val="en-US" w:eastAsia="zh-CN"/>
        </w:rPr>
        <w:t>安排</w:t>
      </w:r>
      <w:r>
        <w:rPr>
          <w:rFonts w:hint="default" w:ascii="Times New Roman" w:hAnsi="Times New Roman" w:cs="Times New Roman"/>
        </w:rPr>
        <w:t>助学金与伙食补助，切实减轻学生经济负担；五是</w:t>
      </w:r>
      <w:r>
        <w:rPr>
          <w:rFonts w:hint="default" w:ascii="Times New Roman" w:hAnsi="Times New Roman" w:cs="Times New Roman"/>
          <w:lang w:val="en-US" w:eastAsia="zh-CN"/>
        </w:rPr>
        <w:t>健全</w:t>
      </w:r>
      <w:r>
        <w:rPr>
          <w:rFonts w:hint="default" w:ascii="Times New Roman" w:hAnsi="Times New Roman" w:cs="Times New Roman"/>
        </w:rPr>
        <w:t>监督评估体系，定期开展绩效评价，收集学生反馈，持续改进工作；六是加强政策宣传解读，提高政策知晓度，确保应助尽助。</w:t>
      </w:r>
    </w:p>
    <w:p w14:paraId="747F21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pPr>
      <w:r>
        <w:rPr>
          <w:rFonts w:hint="eastAsia" w:cs="Times New Roman"/>
          <w:lang w:val="en-US" w:eastAsia="zh-CN"/>
        </w:rPr>
        <w:t>2.</w:t>
      </w:r>
      <w:r>
        <w:rPr>
          <w:rFonts w:hint="default" w:ascii="Times New Roman" w:hAnsi="Times New Roman" w:cs="Times New Roman"/>
        </w:rPr>
        <w:t>科研</w:t>
      </w:r>
      <w:r>
        <w:rPr>
          <w:rFonts w:hint="default" w:ascii="Times New Roman" w:hAnsi="Times New Roman" w:cs="Times New Roman"/>
          <w:lang w:val="en-US" w:eastAsia="zh-CN"/>
        </w:rPr>
        <w:t>管理</w:t>
      </w:r>
      <w:r>
        <w:rPr>
          <w:rFonts w:hint="default" w:ascii="Times New Roman" w:hAnsi="Times New Roman" w:cs="Times New Roman"/>
        </w:rPr>
        <w:t>方面：</w:t>
      </w:r>
      <w:r>
        <w:rPr>
          <w:rFonts w:hint="default" w:ascii="Times New Roman" w:hAnsi="Times New Roman" w:cs="Times New Roman"/>
          <w:lang w:val="en-US" w:eastAsia="zh-CN"/>
        </w:rPr>
        <w:t>主动</w:t>
      </w:r>
      <w:r>
        <w:rPr>
          <w:rFonts w:hint="default" w:ascii="Times New Roman" w:hAnsi="Times New Roman" w:cs="Times New Roman"/>
          <w:lang w:eastAsia="zh-CN"/>
        </w:rPr>
        <w:t>开展课题申报工作，</w:t>
      </w:r>
      <w:r>
        <w:rPr>
          <w:rFonts w:hint="default" w:ascii="Times New Roman" w:hAnsi="Times New Roman" w:cs="Times New Roman"/>
        </w:rPr>
        <w:t>动员各学院教师</w:t>
      </w:r>
      <w:r>
        <w:rPr>
          <w:rFonts w:hint="default" w:ascii="Times New Roman" w:hAnsi="Times New Roman" w:cs="Times New Roman"/>
          <w:lang w:val="en-US" w:eastAsia="zh-CN"/>
        </w:rPr>
        <w:t>积极</w:t>
      </w:r>
      <w:r>
        <w:rPr>
          <w:rFonts w:hint="default" w:ascii="Times New Roman" w:hAnsi="Times New Roman" w:cs="Times New Roman"/>
        </w:rPr>
        <w:t>申报国家级、省部级、厅局级纵向课题，</w:t>
      </w:r>
      <w:r>
        <w:rPr>
          <w:rFonts w:hint="default" w:ascii="Times New Roman" w:hAnsi="Times New Roman" w:cs="Times New Roman"/>
          <w:lang w:val="en-US" w:eastAsia="zh-CN"/>
        </w:rPr>
        <w:t>努力</w:t>
      </w:r>
      <w:r>
        <w:rPr>
          <w:rFonts w:hint="default" w:ascii="Times New Roman" w:hAnsi="Times New Roman" w:cs="Times New Roman"/>
        </w:rPr>
        <w:t>争取科研项目资金</w:t>
      </w:r>
      <w:r>
        <w:rPr>
          <w:rFonts w:hint="default" w:ascii="Times New Roman" w:hAnsi="Times New Roman" w:cs="Times New Roman"/>
          <w:lang w:val="en-US" w:eastAsia="zh-CN"/>
        </w:rPr>
        <w:t>支持</w:t>
      </w:r>
      <w:r>
        <w:rPr>
          <w:rFonts w:hint="default" w:ascii="Times New Roman" w:hAnsi="Times New Roman" w:cs="Times New Roman"/>
        </w:rPr>
        <w:t>，</w:t>
      </w:r>
      <w:r>
        <w:rPr>
          <w:rFonts w:hint="default" w:ascii="Times New Roman" w:hAnsi="Times New Roman" w:cs="Times New Roman"/>
          <w:lang w:val="en-US" w:eastAsia="zh-CN"/>
        </w:rPr>
        <w:t>增强</w:t>
      </w:r>
      <w:r>
        <w:rPr>
          <w:rFonts w:hint="default" w:ascii="Times New Roman" w:hAnsi="Times New Roman" w:cs="Times New Roman"/>
        </w:rPr>
        <w:t>学校科研</w:t>
      </w:r>
      <w:r>
        <w:rPr>
          <w:rFonts w:hint="default" w:ascii="Times New Roman" w:hAnsi="Times New Roman" w:cs="Times New Roman"/>
          <w:lang w:val="en-US" w:eastAsia="zh-CN"/>
        </w:rPr>
        <w:t>能力</w:t>
      </w:r>
      <w:r>
        <w:rPr>
          <w:rFonts w:hint="default" w:ascii="Times New Roman" w:hAnsi="Times New Roman" w:cs="Times New Roman"/>
        </w:rPr>
        <w:t>。对接社会需求，与企事业单位合作设立横向课题，为企事业单位解决难题，提供决策咨询与服务，推动科研成果的转化应用。</w:t>
      </w:r>
    </w:p>
    <w:p w14:paraId="75370FCA">
      <w:pPr>
        <w:ind w:left="0" w:leftChars="0" w:firstLine="640" w:firstLineChars="200"/>
        <w:rPr>
          <w:rFonts w:hint="default" w:ascii="Times New Roman" w:hAnsi="Times New Roman" w:cs="Times New Roman"/>
          <w:lang w:eastAsia="zh-CN"/>
        </w:rPr>
      </w:pPr>
      <w:r>
        <w:rPr>
          <w:rFonts w:hint="eastAsia" w:cs="Times New Roman"/>
          <w:lang w:val="en-US" w:eastAsia="zh-CN"/>
        </w:rPr>
        <w:t>3.</w:t>
      </w:r>
      <w:r>
        <w:rPr>
          <w:rFonts w:hint="default" w:ascii="Times New Roman" w:hAnsi="Times New Roman" w:cs="Times New Roman"/>
        </w:rPr>
        <w:t>后勤保障服务方面：</w:t>
      </w:r>
      <w:r>
        <w:rPr>
          <w:rFonts w:hint="default" w:ascii="Times New Roman" w:hAnsi="Times New Roman" w:cs="Times New Roman"/>
          <w:lang w:val="en-US" w:eastAsia="zh-CN"/>
        </w:rPr>
        <w:t>一是实施“园区安全保障计划”和“家园共育计划”，建立家长月度入园体验机制，促进家园互动，提升家长满意度</w:t>
      </w:r>
      <w:r>
        <w:rPr>
          <w:rFonts w:hint="default" w:ascii="Times New Roman" w:hAnsi="Times New Roman" w:cs="Times New Roman"/>
          <w:lang w:eastAsia="zh-CN"/>
        </w:rPr>
        <w:t>；</w:t>
      </w:r>
      <w:r>
        <w:rPr>
          <w:rFonts w:hint="default" w:ascii="Times New Roman" w:hAnsi="Times New Roman" w:cs="Times New Roman"/>
          <w:lang w:val="en-US" w:eastAsia="zh-CN"/>
        </w:rPr>
        <w:t>二是完善传染病预防控制体系，强化校园卫生防疫监督反馈，确保校园健康安全</w:t>
      </w:r>
      <w:r>
        <w:rPr>
          <w:rFonts w:hint="default" w:ascii="Times New Roman" w:hAnsi="Times New Roman" w:cs="Times New Roman"/>
          <w:lang w:eastAsia="zh-CN"/>
        </w:rPr>
        <w:t>；</w:t>
      </w:r>
      <w:r>
        <w:rPr>
          <w:rFonts w:hint="default" w:ascii="Times New Roman" w:hAnsi="Times New Roman" w:cs="Times New Roman"/>
          <w:lang w:val="en-US" w:eastAsia="zh-CN"/>
        </w:rPr>
        <w:t>三是</w:t>
      </w:r>
      <w:r>
        <w:rPr>
          <w:rFonts w:hint="default" w:ascii="Times New Roman" w:hAnsi="Times New Roman" w:cs="Times New Roman"/>
        </w:rPr>
        <w:t>餐饮服务部健全食品安全管理制度体系</w:t>
      </w:r>
      <w:r>
        <w:rPr>
          <w:rFonts w:hint="default" w:ascii="Times New Roman" w:hAnsi="Times New Roman" w:cs="Times New Roman"/>
          <w:lang w:eastAsia="zh-CN"/>
        </w:rPr>
        <w:t>，持续开展食品安全风险防控，强化对合作餐饮企业、食堂及商店的监督检查，加强食品安全宣传教育，提升师生食品安全意识和自我保护能力；</w:t>
      </w:r>
      <w:r>
        <w:rPr>
          <w:rFonts w:hint="default" w:ascii="Times New Roman" w:hAnsi="Times New Roman" w:cs="Times New Roman"/>
          <w:lang w:val="en-US" w:eastAsia="zh-CN"/>
        </w:rPr>
        <w:t>四是</w:t>
      </w:r>
      <w:r>
        <w:rPr>
          <w:rFonts w:hint="default" w:ascii="Times New Roman" w:hAnsi="Times New Roman" w:cs="Times New Roman"/>
        </w:rPr>
        <w:t>后勤维修经费优先保障重点维修项目资金需求</w:t>
      </w:r>
      <w:r>
        <w:rPr>
          <w:rFonts w:hint="default" w:ascii="Times New Roman" w:hAnsi="Times New Roman" w:cs="Times New Roman"/>
          <w:lang w:eastAsia="zh-CN"/>
        </w:rPr>
        <w:t>，</w:t>
      </w:r>
      <w:r>
        <w:rPr>
          <w:rFonts w:hint="default" w:ascii="Times New Roman" w:hAnsi="Times New Roman" w:cs="Times New Roman"/>
        </w:rPr>
        <w:t>建立采购比价机制，择优选择供应商，提高资金使用效益</w:t>
      </w:r>
      <w:r>
        <w:rPr>
          <w:rFonts w:hint="default" w:ascii="Times New Roman" w:hAnsi="Times New Roman" w:cs="Times New Roman"/>
          <w:lang w:eastAsia="zh-CN"/>
        </w:rPr>
        <w:t>，强化支出管控，坚持“非必要不支出”原则，确保资金用在实处。</w:t>
      </w:r>
    </w:p>
    <w:p w14:paraId="49D3FD51">
      <w:pPr>
        <w:ind w:firstLine="640"/>
        <w:rPr>
          <w:rFonts w:hint="default" w:ascii="Times New Roman" w:hAnsi="Times New Roman" w:cs="Times New Roman"/>
          <w:lang w:val="en-US" w:eastAsia="zh-CN"/>
        </w:rPr>
      </w:pPr>
      <w:r>
        <w:rPr>
          <w:rFonts w:hint="eastAsia" w:cs="Times New Roman"/>
          <w:lang w:val="en-US" w:eastAsia="zh-CN"/>
        </w:rPr>
        <w:t>4.</w:t>
      </w:r>
      <w:r>
        <w:rPr>
          <w:rFonts w:hint="default" w:ascii="Times New Roman" w:hAnsi="Times New Roman" w:cs="Times New Roman"/>
        </w:rPr>
        <w:t>基建方面：</w:t>
      </w:r>
      <w:r>
        <w:rPr>
          <w:rFonts w:hint="default" w:ascii="Times New Roman" w:hAnsi="Times New Roman" w:cs="Times New Roman"/>
          <w:lang w:val="en-US" w:eastAsia="zh-CN"/>
        </w:rPr>
        <w:t>一是实施精细化预算管理，科学编制预算方案，明确资金使用规划，建立预算执行动态监控机制，强化全过程预算控制，确保资金使用效率和计划性；二是坚持需求导向，深入开展可行性研究，优化设计方案，严格</w:t>
      </w:r>
      <w:r>
        <w:rPr>
          <w:rFonts w:hint="eastAsia" w:cs="Times New Roman"/>
          <w:lang w:val="en-US" w:eastAsia="zh-CN"/>
        </w:rPr>
        <w:t>执行</w:t>
      </w:r>
      <w:r>
        <w:rPr>
          <w:rFonts w:hint="default" w:ascii="Times New Roman" w:hAnsi="Times New Roman" w:cs="Times New Roman"/>
          <w:lang w:val="en-US" w:eastAsia="zh-CN"/>
        </w:rPr>
        <w:t>设计标准，建立设计质量责任制，确保规划设计与学校发展需求精准对接，避免因设计不合理导致的变更和成本超支。</w:t>
      </w:r>
    </w:p>
    <w:p w14:paraId="5828FEA1">
      <w:pPr>
        <w:keepNext w:val="0"/>
        <w:keepLines w:val="0"/>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rPr>
      </w:pPr>
      <w:r>
        <w:rPr>
          <w:rFonts w:hint="default" w:ascii="Times New Roman" w:hAnsi="Times New Roman" w:cs="Times New Roman"/>
          <w:szCs w:val="32"/>
          <w:lang w:val="en-US" w:eastAsia="zh-CN"/>
        </w:rPr>
        <w:t>5</w:t>
      </w:r>
      <w:r>
        <w:rPr>
          <w:rFonts w:hint="eastAsia" w:cs="Times New Roman"/>
          <w:szCs w:val="32"/>
          <w:lang w:val="en-US" w:eastAsia="zh-CN"/>
        </w:rPr>
        <w:t>.</w:t>
      </w:r>
      <w:r>
        <w:rPr>
          <w:rFonts w:hint="default" w:ascii="Times New Roman" w:hAnsi="Times New Roman" w:cs="Times New Roman"/>
          <w:szCs w:val="32"/>
          <w:lang w:val="en-US" w:eastAsia="zh-CN"/>
        </w:rPr>
        <w:t>学科专业建设</w:t>
      </w:r>
      <w:r>
        <w:rPr>
          <w:rFonts w:hint="default" w:ascii="Times New Roman" w:hAnsi="Times New Roman" w:cs="Times New Roman"/>
          <w:szCs w:val="32"/>
        </w:rPr>
        <w:t>方面：</w:t>
      </w:r>
      <w:r>
        <w:rPr>
          <w:rFonts w:hint="default" w:ascii="Times New Roman" w:hAnsi="Times New Roman" w:cs="Times New Roman"/>
          <w:szCs w:val="32"/>
          <w:lang w:val="en-US" w:eastAsia="zh-CN"/>
        </w:rPr>
        <w:t>一是</w:t>
      </w:r>
      <w:r>
        <w:rPr>
          <w:rFonts w:hint="default" w:ascii="Times New Roman" w:hAnsi="Times New Roman" w:cs="Times New Roman"/>
          <w:szCs w:val="32"/>
        </w:rPr>
        <w:t>严格执行上级管理制度，所有项目实施均严格遵循中央、自治区相关政策规定及学校规章制度要求</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二是健全责任落实机制，实行项目负责人制度，明确项目所属单位为执行主体，单位负责人履行进度督导职责，确保项目按期保质完成。建立常态化监督检查机制，强化经费支出全过程监管，保障资金使用规范、安全、高效</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三是科学制定项目经费执行计划，依据项目建设要素特征，合理规划经费执行进度，明确阶段性目标任务，统筹推进项目实施。建立预算动态调整机制，根据项目实际进展适时优化预算安排，确保项目建设目标任务高质量完成</w:t>
      </w:r>
      <w:r>
        <w:rPr>
          <w:rFonts w:hint="default" w:ascii="Times New Roman" w:hAnsi="Times New Roman" w:cs="Times New Roman"/>
        </w:rPr>
        <w:t>。</w:t>
      </w:r>
    </w:p>
    <w:p w14:paraId="41BD659F">
      <w:pPr>
        <w:keepNext w:val="0"/>
        <w:keepLines w:val="0"/>
        <w:pageBreakBefore w:val="0"/>
        <w:widowControl w:val="0"/>
        <w:kinsoku/>
        <w:wordWrap/>
        <w:overflowPunct/>
        <w:topLinePunct w:val="0"/>
        <w:autoSpaceDE/>
        <w:autoSpaceDN/>
        <w:bidi w:val="0"/>
        <w:adjustRightInd/>
        <w:snapToGrid/>
        <w:ind w:firstLine="643"/>
        <w:textAlignment w:val="auto"/>
        <w:rPr>
          <w:rFonts w:hint="default" w:ascii="Times New Roman" w:hAnsi="Times New Roman" w:cs="Times New Roman"/>
          <w:b w:val="0"/>
          <w:bCs w:val="0"/>
        </w:rPr>
      </w:pP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lang w:val="en-US" w:eastAsia="zh-CN"/>
        </w:rPr>
        <w:t>三</w:t>
      </w: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rPr>
        <w:t>项目存在的主要问题</w:t>
      </w:r>
    </w:p>
    <w:p w14:paraId="52D94B9B">
      <w:pPr>
        <w:keepNext w:val="0"/>
        <w:keepLines w:val="0"/>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lang w:val="en-US" w:eastAsia="zh-CN"/>
        </w:rPr>
      </w:pPr>
      <w:r>
        <w:rPr>
          <w:rFonts w:hint="eastAsia" w:cs="Times New Roman"/>
          <w:lang w:val="en-US" w:eastAsia="zh-CN"/>
        </w:rPr>
        <w:t>1.</w:t>
      </w:r>
      <w:r>
        <w:rPr>
          <w:rFonts w:hint="default" w:ascii="Times New Roman" w:hAnsi="Times New Roman" w:cs="Times New Roman"/>
        </w:rPr>
        <w:t>预算执行率偏低</w:t>
      </w:r>
      <w:r>
        <w:rPr>
          <w:rFonts w:hint="default" w:ascii="Times New Roman" w:hAnsi="Times New Roman" w:cs="Times New Roman"/>
          <w:lang w:val="en-US" w:eastAsia="zh-CN"/>
        </w:rPr>
        <w:t>。</w:t>
      </w:r>
      <w:r>
        <w:rPr>
          <w:rFonts w:hint="eastAsia" w:cs="Times New Roman"/>
          <w:lang w:eastAsia="zh-CN"/>
        </w:rPr>
        <w:t>一是受宏观经济形势和就业市场变化影响，部分培训项目和社会服务收入未达预期；二是科研服务收入结算周期较长，部分款项跨年度支付；三是基建维修项目因招标程序、施工条件等因素导致进度滞后；四是严格落实过紧日子要求，部分非急需非刚性支出压减执行。全年资金使用严格遵循专款专用原则，未发生截留、挪用、挤占等违规情形，会计核算规范，财务信息真实完整。</w:t>
      </w:r>
    </w:p>
    <w:p w14:paraId="27807E5B">
      <w:pPr>
        <w:rPr>
          <w:rFonts w:hint="default" w:ascii="Times New Roman" w:hAnsi="Times New Roman" w:cs="Times New Roman"/>
          <w:lang w:eastAsia="zh-CN"/>
        </w:rPr>
      </w:pPr>
      <w:r>
        <w:rPr>
          <w:rFonts w:hint="eastAsia" w:cs="Times New Roman"/>
          <w:lang w:val="en-US" w:eastAsia="zh-CN"/>
        </w:rPr>
        <w:t>2.预算规划衔接不紧。</w:t>
      </w:r>
      <w:r>
        <w:rPr>
          <w:rFonts w:hint="default" w:ascii="Times New Roman" w:hAnsi="Times New Roman" w:cs="Times New Roman"/>
          <w:lang w:val="en-US" w:eastAsia="zh-CN"/>
        </w:rPr>
        <w:t>部分项目</w:t>
      </w:r>
      <w:r>
        <w:rPr>
          <w:rFonts w:hint="default" w:ascii="Times New Roman" w:hAnsi="Times New Roman" w:cs="Times New Roman"/>
          <w:lang w:eastAsia="zh-CN"/>
        </w:rPr>
        <w:t>预算编制与部门中长期发展规划及年度工作计划的衔接不够紧密，导致预算规模与实际执行存在</w:t>
      </w:r>
      <w:r>
        <w:rPr>
          <w:rFonts w:hint="eastAsia" w:cs="Times New Roman"/>
          <w:lang w:val="en-US" w:eastAsia="zh-CN"/>
        </w:rPr>
        <w:t>一定</w:t>
      </w:r>
      <w:r>
        <w:rPr>
          <w:rFonts w:hint="default" w:ascii="Times New Roman" w:hAnsi="Times New Roman" w:cs="Times New Roman"/>
          <w:lang w:eastAsia="zh-CN"/>
        </w:rPr>
        <w:t>偏差，影响预算执行效果。</w:t>
      </w:r>
    </w:p>
    <w:p w14:paraId="74D9C8A2">
      <w:pPr>
        <w:rPr>
          <w:rFonts w:hint="default" w:ascii="Times New Roman" w:hAnsi="Times New Roman" w:cs="Times New Roman"/>
        </w:rPr>
      </w:pPr>
      <w:r>
        <w:rPr>
          <w:rFonts w:hint="eastAsia" w:cs="Times New Roman"/>
          <w:strike w:val="0"/>
          <w:lang w:val="en-US" w:eastAsia="zh-CN"/>
        </w:rPr>
        <w:t>3.</w:t>
      </w:r>
      <w:r>
        <w:rPr>
          <w:rFonts w:hint="default" w:ascii="Times New Roman" w:hAnsi="Times New Roman" w:cs="Times New Roman"/>
        </w:rPr>
        <w:t>监督管理机制不健全</w:t>
      </w:r>
      <w:r>
        <w:rPr>
          <w:rFonts w:hint="default" w:ascii="Times New Roman" w:hAnsi="Times New Roman" w:cs="Times New Roman"/>
          <w:lang w:eastAsia="zh-CN"/>
        </w:rPr>
        <w:t>。部分项目在实施过程中缺乏有效的动态跟踪与反馈机制，</w:t>
      </w:r>
      <w:r>
        <w:rPr>
          <w:rFonts w:hint="default" w:ascii="Times New Roman" w:hAnsi="Times New Roman" w:cs="Times New Roman"/>
        </w:rPr>
        <w:t>存在资金调剂使用情况</w:t>
      </w:r>
      <w:r>
        <w:rPr>
          <w:rFonts w:hint="default" w:ascii="Times New Roman" w:hAnsi="Times New Roman" w:cs="Times New Roman"/>
          <w:lang w:eastAsia="zh-CN"/>
        </w:rPr>
        <w:t>，</w:t>
      </w:r>
      <w:r>
        <w:rPr>
          <w:rFonts w:hint="default" w:ascii="Times New Roman" w:hAnsi="Times New Roman" w:cs="Times New Roman"/>
        </w:rPr>
        <w:t>项目内容实施和经费使用管理的监督管控力度不足，影响资金使用效益。</w:t>
      </w:r>
    </w:p>
    <w:p w14:paraId="5BED1949">
      <w:pPr>
        <w:ind w:firstLine="640"/>
        <w:rPr>
          <w:rFonts w:hint="default" w:ascii="Times New Roman" w:hAnsi="Times New Roman" w:eastAsia="黑体" w:cs="Times New Roman"/>
        </w:rPr>
      </w:pPr>
      <w:r>
        <w:rPr>
          <w:rFonts w:hint="eastAsia" w:eastAsia="黑体" w:cs="Times New Roman"/>
          <w:lang w:val="en-US" w:eastAsia="zh-CN"/>
        </w:rPr>
        <w:t>三</w:t>
      </w:r>
      <w:r>
        <w:rPr>
          <w:rFonts w:hint="default" w:ascii="Times New Roman" w:hAnsi="Times New Roman" w:eastAsia="黑体" w:cs="Times New Roman"/>
        </w:rPr>
        <w:t>、改进建议</w:t>
      </w:r>
    </w:p>
    <w:p w14:paraId="4BDC8EAD">
      <w:pPr>
        <w:ind w:firstLine="643"/>
        <w:rPr>
          <w:rFonts w:hint="eastAsia" w:ascii="楷体_GB2312" w:hAnsi="楷体_GB2312" w:eastAsia="楷体_GB2312" w:cs="楷体_GB2312"/>
          <w:b w:val="0"/>
          <w:bCs w:val="0"/>
        </w:rPr>
      </w:pPr>
      <w:r>
        <w:rPr>
          <w:rFonts w:hint="eastAsia" w:ascii="楷体_GB2312" w:hAnsi="楷体_GB2312" w:eastAsia="楷体_GB2312" w:cs="楷体_GB2312"/>
          <w:b w:val="0"/>
          <w:bCs w:val="0"/>
        </w:rPr>
        <w:t>（一）对项目决策的建议</w:t>
      </w:r>
    </w:p>
    <w:p w14:paraId="2B97E56C">
      <w:pPr>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color w:val="000000"/>
          <w:spacing w:val="8"/>
          <w:kern w:val="0"/>
          <w:sz w:val="32"/>
          <w:szCs w:val="32"/>
          <w:lang w:val="en-US" w:eastAsia="zh-CN" w:bidi="ar"/>
        </w:rPr>
      </w:pPr>
      <w:r>
        <w:rPr>
          <w:rFonts w:hint="default" w:ascii="Times New Roman" w:hAnsi="Times New Roman" w:eastAsia="仿宋_GB2312" w:cs="Times New Roman"/>
          <w:color w:val="000000"/>
          <w:spacing w:val="8"/>
          <w:kern w:val="0"/>
          <w:sz w:val="32"/>
          <w:szCs w:val="32"/>
          <w:lang w:val="en-US" w:eastAsia="zh-CN" w:bidi="ar"/>
        </w:rPr>
        <w:t>1</w:t>
      </w:r>
      <w:r>
        <w:rPr>
          <w:rFonts w:hint="eastAsia" w:cs="Times New Roman"/>
          <w:color w:val="000000"/>
          <w:spacing w:val="8"/>
          <w:kern w:val="0"/>
          <w:sz w:val="32"/>
          <w:szCs w:val="32"/>
          <w:lang w:val="en-US" w:eastAsia="zh-CN" w:bidi="ar"/>
        </w:rPr>
        <w:t>.</w:t>
      </w:r>
      <w:r>
        <w:rPr>
          <w:rFonts w:hint="default" w:ascii="Times New Roman" w:hAnsi="Times New Roman" w:eastAsia="仿宋_GB2312" w:cs="Times New Roman"/>
          <w:color w:val="000000"/>
          <w:spacing w:val="8"/>
          <w:kern w:val="0"/>
          <w:sz w:val="32"/>
          <w:szCs w:val="32"/>
          <w:lang w:val="en-US" w:eastAsia="zh-CN" w:bidi="ar"/>
        </w:rPr>
        <w:t>加强事前绩效评估。将绩效管理要求纳入预算编制、执行全过程，建立“无绩效不预算”的刚性约束机制，着力提高资金使用绩效。对新增项目实行强制性事前绩效评估，</w:t>
      </w:r>
      <w:r>
        <w:rPr>
          <w:rFonts w:hint="default" w:ascii="Times New Roman" w:hAnsi="Times New Roman" w:eastAsia="仿宋_GB2312" w:cs="Times New Roman"/>
        </w:rPr>
        <w:t>明确项目目标及其达成的具体标准，确保目标具有可操作性、可量化性，</w:t>
      </w:r>
      <w:r>
        <w:rPr>
          <w:rFonts w:hint="default" w:ascii="Times New Roman" w:hAnsi="Times New Roman" w:eastAsia="仿宋_GB2312" w:cs="Times New Roman"/>
          <w:color w:val="000000"/>
          <w:spacing w:val="8"/>
          <w:kern w:val="0"/>
          <w:sz w:val="32"/>
          <w:szCs w:val="32"/>
          <w:lang w:val="en-US" w:eastAsia="zh-CN" w:bidi="ar"/>
        </w:rPr>
        <w:t>将评估结果作为新增项目立项、调整的前置条件，从源头上严格立项管理。</w:t>
      </w:r>
    </w:p>
    <w:p w14:paraId="0D7531C8">
      <w:pPr>
        <w:keepNext w:val="0"/>
        <w:keepLines w:val="0"/>
        <w:pageBreakBefore w:val="0"/>
        <w:widowControl/>
        <w:suppressLineNumbers w:val="0"/>
        <w:kinsoku/>
        <w:wordWrap/>
        <w:overflowPunct/>
        <w:topLinePunct w:val="0"/>
        <w:autoSpaceDE/>
        <w:autoSpaceDN/>
        <w:bidi w:val="0"/>
        <w:adjustRightInd/>
        <w:snapToGrid/>
        <w:spacing w:line="560" w:lineRule="exact"/>
        <w:ind w:firstLine="672" w:firstLineChars="200"/>
        <w:jc w:val="both"/>
        <w:textAlignment w:val="auto"/>
        <w:rPr>
          <w:rFonts w:hint="default" w:ascii="Times New Roman" w:hAnsi="Times New Roman" w:eastAsia="仿宋_GB2312" w:cs="Times New Roman"/>
          <w:b/>
          <w:bCs/>
          <w:lang w:val="en-US" w:eastAsia="zh-CN"/>
        </w:rPr>
      </w:pPr>
      <w:r>
        <w:rPr>
          <w:rFonts w:hint="default" w:ascii="Times New Roman" w:hAnsi="Times New Roman" w:eastAsia="仿宋_GB2312" w:cs="Times New Roman"/>
          <w:color w:val="000000"/>
          <w:spacing w:val="8"/>
          <w:kern w:val="0"/>
          <w:sz w:val="32"/>
          <w:szCs w:val="32"/>
          <w:lang w:val="en-US" w:eastAsia="zh-CN" w:bidi="ar"/>
        </w:rPr>
        <w:t>2</w:t>
      </w:r>
      <w:r>
        <w:rPr>
          <w:rFonts w:hint="eastAsia" w:cs="Times New Roman"/>
          <w:color w:val="000000"/>
          <w:spacing w:val="8"/>
          <w:kern w:val="0"/>
          <w:sz w:val="32"/>
          <w:szCs w:val="32"/>
          <w:lang w:val="en-US" w:eastAsia="zh-CN" w:bidi="ar"/>
        </w:rPr>
        <w:t>.</w:t>
      </w:r>
      <w:r>
        <w:rPr>
          <w:rFonts w:hint="default" w:ascii="Times New Roman" w:hAnsi="Times New Roman" w:eastAsia="仿宋_GB2312" w:cs="Times New Roman"/>
          <w:color w:val="000000"/>
          <w:spacing w:val="8"/>
          <w:kern w:val="0"/>
          <w:sz w:val="32"/>
          <w:szCs w:val="32"/>
          <w:lang w:val="en-US" w:eastAsia="zh-CN" w:bidi="ar"/>
        </w:rPr>
        <w:t>做实重点项目的绩效评价。硬化预算和绩效“双约束”，每年年底各部门需通过预算绩效一体化系统进行项目自评及部门整体绩效评价。将绩效管理实施情况纳入对各单位的整体考核体系，实现绩效评价结果与预算安排和政策调整相挂钩。原则上对评价等级为优、良的，根据情况予以支持；对评价等级为中、差的，要完善政策、改进管理，根据情况核减预算。对不进行整改或整改不到位的，根据情况相应调减预算或整改到位后再</w:t>
      </w:r>
      <w:r>
        <w:rPr>
          <w:rFonts w:hint="eastAsia" w:cs="Times New Roman"/>
          <w:color w:val="000000"/>
          <w:spacing w:val="8"/>
          <w:kern w:val="0"/>
          <w:sz w:val="32"/>
          <w:szCs w:val="32"/>
          <w:lang w:val="en-US" w:eastAsia="zh-CN" w:bidi="ar"/>
        </w:rPr>
        <w:t>予以</w:t>
      </w:r>
      <w:r>
        <w:rPr>
          <w:rFonts w:hint="default" w:ascii="Times New Roman" w:hAnsi="Times New Roman" w:eastAsia="仿宋_GB2312" w:cs="Times New Roman"/>
          <w:color w:val="000000"/>
          <w:spacing w:val="8"/>
          <w:kern w:val="0"/>
          <w:sz w:val="32"/>
          <w:szCs w:val="32"/>
          <w:lang w:val="en-US" w:eastAsia="zh-CN" w:bidi="ar"/>
        </w:rPr>
        <w:t>安排。</w:t>
      </w:r>
    </w:p>
    <w:p w14:paraId="4BAB9E28">
      <w:pPr>
        <w:pageBreakBefore w:val="0"/>
        <w:widowControl w:val="0"/>
        <w:kinsoku/>
        <w:wordWrap/>
        <w:overflowPunct/>
        <w:topLinePunct w:val="0"/>
        <w:autoSpaceDE/>
        <w:autoSpaceDN/>
        <w:bidi w:val="0"/>
        <w:adjustRightInd/>
        <w:snapToGrid/>
        <w:ind w:firstLine="643"/>
        <w:textAlignment w:val="auto"/>
        <w:rPr>
          <w:rFonts w:hint="eastAsia" w:ascii="楷体_GB2312" w:hAnsi="楷体_GB2312" w:eastAsia="楷体_GB2312" w:cs="楷体_GB2312"/>
          <w:b w:val="0"/>
          <w:bCs w:val="0"/>
        </w:rPr>
      </w:pPr>
      <w:r>
        <w:rPr>
          <w:rFonts w:hint="eastAsia" w:ascii="楷体_GB2312" w:hAnsi="楷体_GB2312" w:eastAsia="楷体_GB2312" w:cs="楷体_GB2312"/>
          <w:b w:val="0"/>
          <w:bCs w:val="0"/>
        </w:rPr>
        <w:t>（二）对预算安排与执行的建议</w:t>
      </w:r>
    </w:p>
    <w:p w14:paraId="5C20719A">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cs="Times New Roman"/>
          <w:lang w:val="en-US" w:eastAsia="zh-CN"/>
        </w:rPr>
        <w:t>.</w:t>
      </w:r>
      <w:r>
        <w:rPr>
          <w:rFonts w:hint="default" w:ascii="Times New Roman" w:hAnsi="Times New Roman" w:cs="Times New Roman"/>
          <w:lang w:val="en-US" w:eastAsia="zh-CN"/>
        </w:rPr>
        <w:t>各单位应夯实预算编制基础工作，严格执行预算编制规范，细化编制内容，做实基础数据，确保预算编制工作全面、真实、准确。完善项目库动态管理机制，强化预算项目可行性研究和事前论证，切实提高预算编制的科学性、精准性和可执行性。</w:t>
      </w:r>
    </w:p>
    <w:p w14:paraId="461BF1B0">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w:t>
      </w:r>
      <w:r>
        <w:rPr>
          <w:rFonts w:hint="eastAsia" w:cs="Times New Roman"/>
          <w:lang w:val="en-US" w:eastAsia="zh-CN"/>
        </w:rPr>
        <w:t>.</w:t>
      </w:r>
      <w:r>
        <w:rPr>
          <w:rFonts w:hint="default" w:ascii="Times New Roman" w:hAnsi="Times New Roman" w:cs="Times New Roman"/>
          <w:lang w:val="en-US" w:eastAsia="zh-CN"/>
        </w:rPr>
        <w:t>强化预算刚性约束，加强预算执行监控，杜绝无预算、超预算支出。</w:t>
      </w:r>
    </w:p>
    <w:p w14:paraId="3FDD9128">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w:t>
      </w:r>
      <w:r>
        <w:rPr>
          <w:rFonts w:hint="eastAsia" w:cs="Times New Roman"/>
          <w:lang w:val="en-US" w:eastAsia="zh-CN"/>
        </w:rPr>
        <w:t>.</w:t>
      </w:r>
      <w:r>
        <w:rPr>
          <w:rFonts w:hint="default" w:ascii="Times New Roman" w:hAnsi="Times New Roman" w:cs="Times New Roman"/>
        </w:rPr>
        <w:t>建立预算执行的跟踪机制，发现问题及时调整，确保项目资金合理使用，避免超支。</w:t>
      </w:r>
    </w:p>
    <w:p w14:paraId="3CCCF7D1">
      <w:pPr>
        <w:pageBreakBefore w:val="0"/>
        <w:widowControl w:val="0"/>
        <w:kinsoku/>
        <w:wordWrap/>
        <w:overflowPunct/>
        <w:topLinePunct w:val="0"/>
        <w:autoSpaceDE/>
        <w:autoSpaceDN/>
        <w:bidi w:val="0"/>
        <w:adjustRightInd/>
        <w:snapToGrid/>
        <w:ind w:firstLine="643"/>
        <w:textAlignment w:val="auto"/>
        <w:rPr>
          <w:rFonts w:hint="eastAsia" w:ascii="楷体_GB2312" w:hAnsi="楷体_GB2312" w:eastAsia="楷体_GB2312" w:cs="楷体_GB2312"/>
          <w:b w:val="0"/>
          <w:bCs/>
        </w:rPr>
      </w:pPr>
      <w:r>
        <w:rPr>
          <w:rFonts w:hint="eastAsia" w:ascii="楷体_GB2312" w:hAnsi="楷体_GB2312" w:eastAsia="楷体_GB2312" w:cs="楷体_GB2312"/>
          <w:b w:val="0"/>
          <w:bCs/>
        </w:rPr>
        <w:t>（三）对资金管理的建议</w:t>
      </w:r>
    </w:p>
    <w:p w14:paraId="2D4C940B">
      <w:pPr>
        <w:pageBreakBefore w:val="0"/>
        <w:widowControl w:val="0"/>
        <w:kinsoku/>
        <w:wordWrap/>
        <w:overflowPunct/>
        <w:topLinePunct w:val="0"/>
        <w:autoSpaceDE/>
        <w:autoSpaceDN/>
        <w:bidi w:val="0"/>
        <w:adjustRightInd/>
        <w:snapToGrid/>
        <w:ind w:firstLine="640"/>
        <w:textAlignment w:val="auto"/>
        <w:rPr>
          <w:rFonts w:hint="eastAsia" w:cs="Times New Roman"/>
          <w:lang w:val="en-US" w:eastAsia="zh-CN"/>
        </w:rPr>
      </w:pPr>
      <w:r>
        <w:rPr>
          <w:rFonts w:hint="default" w:ascii="Times New Roman" w:hAnsi="Times New Roman" w:cs="Times New Roman"/>
          <w:lang w:val="en-US" w:eastAsia="zh-CN"/>
        </w:rPr>
        <w:t>1</w:t>
      </w:r>
      <w:r>
        <w:rPr>
          <w:rFonts w:hint="eastAsia" w:cs="Times New Roman"/>
          <w:lang w:val="en-US" w:eastAsia="zh-CN"/>
        </w:rPr>
        <w:t>.强化资金使用的全过程监管。建立资金动态监控预警机制，对预算执行进度、资金使用合规性进行实时跟踪，对执行异常项目及时预警并督促整改。</w:t>
      </w:r>
    </w:p>
    <w:p w14:paraId="4E48550C">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color w:val="000000"/>
          <w:kern w:val="0"/>
          <w:szCs w:val="32"/>
        </w:rPr>
      </w:pPr>
      <w:r>
        <w:rPr>
          <w:rFonts w:hint="eastAsia" w:cs="Times New Roman"/>
          <w:lang w:val="en-US" w:eastAsia="zh-CN"/>
        </w:rPr>
        <w:t>2.</w:t>
      </w:r>
      <w:r>
        <w:rPr>
          <w:rFonts w:hint="default" w:ascii="Times New Roman" w:hAnsi="Times New Roman" w:cs="Times New Roman"/>
          <w:color w:val="000000"/>
          <w:kern w:val="0"/>
          <w:szCs w:val="32"/>
        </w:rPr>
        <w:t>加强项目资金</w:t>
      </w:r>
      <w:r>
        <w:rPr>
          <w:rFonts w:hint="eastAsia" w:cs="Times New Roman"/>
          <w:color w:val="000000"/>
          <w:kern w:val="0"/>
          <w:szCs w:val="32"/>
          <w:lang w:val="en-US" w:eastAsia="zh-CN"/>
        </w:rPr>
        <w:t>的</w:t>
      </w:r>
      <w:r>
        <w:rPr>
          <w:rFonts w:hint="default" w:ascii="Times New Roman" w:hAnsi="Times New Roman" w:cs="Times New Roman"/>
          <w:color w:val="000000"/>
          <w:kern w:val="0"/>
          <w:szCs w:val="32"/>
        </w:rPr>
        <w:t>监控。</w:t>
      </w:r>
      <w:r>
        <w:rPr>
          <w:rFonts w:hint="eastAsia" w:cs="Times New Roman"/>
          <w:lang w:val="en-US" w:eastAsia="zh-CN"/>
        </w:rPr>
        <w:t>严格执行专户管理、专款专用制度，严禁截留、挤占、挪用项目资金。</w:t>
      </w:r>
      <w:r>
        <w:rPr>
          <w:rFonts w:hint="default" w:ascii="Times New Roman" w:hAnsi="Times New Roman" w:cs="Times New Roman"/>
          <w:color w:val="000000"/>
          <w:kern w:val="0"/>
          <w:szCs w:val="32"/>
        </w:rPr>
        <w:t>无预算不支出，超预算不支出，切实规范专项资金管理，保障资金安全、高效运行，发挥资金使用效益。</w:t>
      </w:r>
    </w:p>
    <w:p w14:paraId="7E9110C1">
      <w:pPr>
        <w:pageBreakBefore w:val="0"/>
        <w:widowControl w:val="0"/>
        <w:kinsoku/>
        <w:wordWrap/>
        <w:overflowPunct/>
        <w:topLinePunct w:val="0"/>
        <w:autoSpaceDE/>
        <w:autoSpaceDN/>
        <w:bidi w:val="0"/>
        <w:adjustRightInd/>
        <w:snapToGrid/>
        <w:ind w:firstLine="643"/>
        <w:textAlignment w:val="auto"/>
        <w:rPr>
          <w:rFonts w:hint="default" w:ascii="楷体_GB2312" w:hAnsi="楷体_GB2312" w:eastAsia="楷体_GB2312" w:cs="楷体_GB2312"/>
          <w:b w:val="0"/>
          <w:bCs/>
        </w:rPr>
      </w:pPr>
      <w:r>
        <w:rPr>
          <w:rFonts w:hint="default" w:ascii="楷体_GB2312" w:hAnsi="楷体_GB2312" w:eastAsia="楷体_GB2312" w:cs="楷体_GB2312"/>
          <w:b w:val="0"/>
          <w:bCs/>
        </w:rPr>
        <w:t>（四）项目管理的建议</w:t>
      </w:r>
    </w:p>
    <w:p w14:paraId="74DC1166">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b w:val="0"/>
          <w:bCs/>
          <w:lang w:eastAsia="zh-CN"/>
        </w:rPr>
      </w:pPr>
      <w:r>
        <w:rPr>
          <w:rFonts w:hint="default" w:ascii="Times New Roman" w:hAnsi="Times New Roman" w:eastAsia="仿宋_GB2312" w:cs="Times New Roman"/>
          <w:b w:val="0"/>
          <w:bCs/>
          <w:lang w:val="en-US" w:eastAsia="zh-CN"/>
        </w:rPr>
        <w:t>1</w:t>
      </w:r>
      <w:r>
        <w:rPr>
          <w:rFonts w:hint="eastAsia" w:cs="Times New Roman"/>
          <w:b w:val="0"/>
          <w:bCs/>
          <w:lang w:val="en-US" w:eastAsia="zh-CN"/>
        </w:rPr>
        <w:t>.</w:t>
      </w:r>
      <w:r>
        <w:rPr>
          <w:rFonts w:hint="default" w:ascii="Times New Roman" w:hAnsi="Times New Roman" w:eastAsia="仿宋_GB2312" w:cs="Times New Roman"/>
          <w:b w:val="0"/>
          <w:bCs/>
        </w:rPr>
        <w:t>健全项目管理机制，完善项目立项审批、过程监管、验收评估等管理制度，明确各环节责任主体和工作要求</w:t>
      </w:r>
      <w:r>
        <w:rPr>
          <w:rFonts w:hint="default" w:ascii="Times New Roman" w:hAnsi="Times New Roman" w:eastAsia="仿宋_GB2312" w:cs="Times New Roman"/>
          <w:b w:val="0"/>
          <w:bCs/>
          <w:lang w:eastAsia="zh-CN"/>
        </w:rPr>
        <w:t>。</w:t>
      </w:r>
    </w:p>
    <w:p w14:paraId="598D96D4">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b w:val="0"/>
          <w:bCs/>
          <w:lang w:eastAsia="zh-CN"/>
        </w:rPr>
      </w:pPr>
      <w:r>
        <w:rPr>
          <w:rFonts w:hint="default" w:ascii="Times New Roman" w:hAnsi="Times New Roman" w:eastAsia="仿宋_GB2312" w:cs="Times New Roman"/>
          <w:b w:val="0"/>
          <w:bCs/>
          <w:lang w:val="en-US" w:eastAsia="zh-CN"/>
        </w:rPr>
        <w:t>2</w:t>
      </w:r>
      <w:r>
        <w:rPr>
          <w:rFonts w:hint="eastAsia" w:eastAsia="仿宋_GB2312" w:cs="Times New Roman"/>
          <w:b w:val="0"/>
          <w:bCs/>
          <w:lang w:val="en-US" w:eastAsia="zh-CN"/>
        </w:rPr>
        <w:t>.</w:t>
      </w:r>
      <w:r>
        <w:rPr>
          <w:rFonts w:hint="default" w:ascii="Times New Roman" w:hAnsi="Times New Roman" w:eastAsia="仿宋_GB2312" w:cs="Times New Roman"/>
          <w:b w:val="0"/>
          <w:bCs/>
        </w:rPr>
        <w:t>强化全过程管控，严格项目可行性论证，加强实施过程动态监控，规范项目变更审批，建立项目后评价机制</w:t>
      </w:r>
      <w:r>
        <w:rPr>
          <w:rFonts w:hint="default" w:ascii="Times New Roman" w:hAnsi="Times New Roman" w:eastAsia="仿宋_GB2312" w:cs="Times New Roman"/>
          <w:b w:val="0"/>
          <w:bCs/>
          <w:lang w:eastAsia="zh-CN"/>
        </w:rPr>
        <w:t>。</w:t>
      </w:r>
    </w:p>
    <w:p w14:paraId="60244783">
      <w:pPr>
        <w:pStyle w:val="3"/>
        <w:pageBreakBefore w:val="0"/>
        <w:widowControl w:val="0"/>
        <w:kinsoku/>
        <w:wordWrap/>
        <w:overflowPunct/>
        <w:topLinePunct w:val="0"/>
        <w:autoSpaceDE/>
        <w:autoSpaceDN/>
        <w:bidi w:val="0"/>
        <w:adjustRightInd/>
        <w:snapToGrid/>
        <w:ind w:firstLine="643"/>
        <w:textAlignment w:val="auto"/>
        <w:rPr>
          <w:rFonts w:hint="default" w:ascii="Times New Roman" w:hAnsi="Times New Roman" w:eastAsia="仿宋_GB2312" w:cs="Times New Roman"/>
          <w:b w:val="0"/>
          <w:bCs/>
          <w:lang w:eastAsia="zh-CN"/>
        </w:rPr>
      </w:pPr>
      <w:r>
        <w:rPr>
          <w:rFonts w:hint="default" w:ascii="Times New Roman" w:hAnsi="Times New Roman" w:eastAsia="仿宋_GB2312" w:cs="Times New Roman"/>
          <w:b w:val="0"/>
          <w:bCs/>
          <w:lang w:val="en-US" w:eastAsia="zh-CN"/>
        </w:rPr>
        <w:t>3</w:t>
      </w:r>
      <w:r>
        <w:rPr>
          <w:rFonts w:hint="eastAsia" w:eastAsia="仿宋_GB2312" w:cs="Times New Roman"/>
          <w:b w:val="0"/>
          <w:bCs/>
          <w:lang w:val="en-US" w:eastAsia="zh-CN"/>
        </w:rPr>
        <w:t>.</w:t>
      </w:r>
      <w:r>
        <w:rPr>
          <w:rFonts w:hint="default" w:ascii="Times New Roman" w:hAnsi="Times New Roman" w:eastAsia="仿宋_GB2312" w:cs="Times New Roman"/>
          <w:b w:val="0"/>
          <w:bCs/>
        </w:rPr>
        <w:t>加强部门协同配合，建立跨部门协调机制，明确职责分工，形成项目管理合力</w:t>
      </w:r>
      <w:r>
        <w:rPr>
          <w:rFonts w:hint="default" w:ascii="Times New Roman" w:hAnsi="Times New Roman" w:eastAsia="仿宋_GB2312" w:cs="Times New Roman"/>
          <w:b w:val="0"/>
          <w:bCs/>
          <w:lang w:eastAsia="zh-CN"/>
        </w:rPr>
        <w:t>。</w:t>
      </w:r>
    </w:p>
    <w:p w14:paraId="745383B5">
      <w:pPr>
        <w:pStyle w:val="3"/>
        <w:pageBreakBefore w:val="0"/>
        <w:widowControl w:val="0"/>
        <w:kinsoku/>
        <w:wordWrap/>
        <w:overflowPunct/>
        <w:topLinePunct w:val="0"/>
        <w:autoSpaceDE/>
        <w:autoSpaceDN/>
        <w:bidi w:val="0"/>
        <w:adjustRightInd/>
        <w:snapToGrid/>
        <w:ind w:firstLine="643"/>
        <w:textAlignment w:val="auto"/>
        <w:rPr>
          <w:rFonts w:hint="default" w:ascii="Times New Roman" w:hAnsi="Times New Roman" w:eastAsia="仿宋_GB2312" w:cs="Times New Roman"/>
          <w:b w:val="0"/>
          <w:bCs/>
          <w:lang w:eastAsia="zh-CN"/>
        </w:rPr>
      </w:pPr>
      <w:r>
        <w:rPr>
          <w:rFonts w:hint="default" w:ascii="Times New Roman" w:hAnsi="Times New Roman" w:eastAsia="仿宋_GB2312" w:cs="Times New Roman"/>
          <w:b w:val="0"/>
          <w:bCs/>
          <w:lang w:val="en-US" w:eastAsia="zh-CN"/>
        </w:rPr>
        <w:t>4</w:t>
      </w:r>
      <w:r>
        <w:rPr>
          <w:rFonts w:hint="eastAsia" w:eastAsia="仿宋_GB2312" w:cs="Times New Roman"/>
          <w:b w:val="0"/>
          <w:bCs/>
          <w:lang w:val="en-US" w:eastAsia="zh-CN"/>
        </w:rPr>
        <w:t>.</w:t>
      </w:r>
      <w:r>
        <w:rPr>
          <w:rFonts w:hint="default" w:ascii="Times New Roman" w:hAnsi="Times New Roman" w:eastAsia="仿宋_GB2312" w:cs="Times New Roman"/>
          <w:b w:val="0"/>
          <w:bCs/>
        </w:rPr>
        <w:t>推进信息化建设，建立项目管理信息系统，实现项目全过程动态监管，提升管理效能</w:t>
      </w:r>
      <w:r>
        <w:rPr>
          <w:rFonts w:hint="default" w:ascii="Times New Roman" w:hAnsi="Times New Roman" w:eastAsia="仿宋_GB2312" w:cs="Times New Roman"/>
          <w:b w:val="0"/>
          <w:bCs/>
          <w:lang w:eastAsia="zh-CN"/>
        </w:rPr>
        <w:t>。</w:t>
      </w:r>
    </w:p>
    <w:p w14:paraId="78BB2BE0">
      <w:pPr>
        <w:pStyle w:val="3"/>
        <w:pageBreakBefore w:val="0"/>
        <w:widowControl w:val="0"/>
        <w:kinsoku/>
        <w:wordWrap/>
        <w:overflowPunct/>
        <w:topLinePunct w:val="0"/>
        <w:autoSpaceDE/>
        <w:autoSpaceDN/>
        <w:bidi w:val="0"/>
        <w:adjustRightInd/>
        <w:snapToGrid/>
        <w:ind w:firstLine="643"/>
        <w:textAlignment w:val="auto"/>
        <w:rPr>
          <w:rFonts w:hint="default" w:ascii="Times New Roman" w:hAnsi="Times New Roman" w:eastAsia="仿宋_GB2312" w:cs="Times New Roman"/>
          <w:b w:val="0"/>
          <w:bCs/>
        </w:rPr>
      </w:pPr>
      <w:r>
        <w:rPr>
          <w:rFonts w:hint="default" w:ascii="Times New Roman" w:hAnsi="Times New Roman" w:eastAsia="仿宋_GB2312" w:cs="Times New Roman"/>
          <w:b w:val="0"/>
          <w:bCs/>
          <w:lang w:val="en-US" w:eastAsia="zh-CN"/>
        </w:rPr>
        <w:t>5</w:t>
      </w:r>
      <w:r>
        <w:rPr>
          <w:rFonts w:hint="eastAsia" w:eastAsia="仿宋_GB2312" w:cs="Times New Roman"/>
          <w:b w:val="0"/>
          <w:bCs/>
          <w:lang w:val="en-US" w:eastAsia="zh-CN"/>
        </w:rPr>
        <w:t>.</w:t>
      </w:r>
      <w:r>
        <w:rPr>
          <w:rFonts w:hint="default" w:ascii="Times New Roman" w:hAnsi="Times New Roman" w:eastAsia="仿宋_GB2312" w:cs="Times New Roman"/>
          <w:b w:val="0"/>
          <w:bCs/>
        </w:rPr>
        <w:t>加强专业队伍建设，开展项目管理业务培训，提高管理人员专业素质，为项目管理提供人才保障。</w:t>
      </w:r>
    </w:p>
    <w:p w14:paraId="06612855">
      <w:pPr>
        <w:pStyle w:val="3"/>
        <w:pageBreakBefore w:val="0"/>
        <w:widowControl w:val="0"/>
        <w:kinsoku/>
        <w:wordWrap/>
        <w:overflowPunct/>
        <w:topLinePunct w:val="0"/>
        <w:autoSpaceDE/>
        <w:autoSpaceDN/>
        <w:bidi w:val="0"/>
        <w:adjustRightInd/>
        <w:snapToGrid/>
        <w:ind w:firstLine="643"/>
        <w:textAlignment w:val="auto"/>
        <w:rPr>
          <w:rFonts w:hint="eastAsia" w:ascii="黑体" w:hAnsi="黑体" w:eastAsia="黑体" w:cs="黑体"/>
          <w:b w:val="0"/>
          <w:bCs/>
        </w:rPr>
      </w:pPr>
      <w:r>
        <w:rPr>
          <w:rFonts w:hint="eastAsia" w:ascii="黑体" w:hAnsi="黑体" w:eastAsia="黑体" w:cs="黑体"/>
          <w:b w:val="0"/>
          <w:bCs/>
          <w:lang w:val="en-US" w:eastAsia="zh-CN"/>
        </w:rPr>
        <w:t>四、其他</w:t>
      </w:r>
    </w:p>
    <w:p w14:paraId="0AF91E0F">
      <w:pPr>
        <w:pageBreakBefore w:val="0"/>
        <w:widowControl w:val="0"/>
        <w:kinsoku/>
        <w:wordWrap/>
        <w:overflowPunct/>
        <w:topLinePunct w:val="0"/>
        <w:autoSpaceDE/>
        <w:autoSpaceDN/>
        <w:bidi w:val="0"/>
        <w:adjustRightInd/>
        <w:snapToGrid/>
        <w:textAlignment w:val="auto"/>
        <w:rPr>
          <w:rFonts w:hint="default" w:ascii="Times New Roman" w:hAnsi="Times New Roman" w:cs="Times New Roman"/>
          <w:kern w:val="2"/>
          <w:sz w:val="32"/>
          <w:szCs w:val="32"/>
          <w:lang w:val="en-US" w:eastAsia="zh-CN"/>
        </w:rPr>
      </w:pPr>
      <w:r>
        <w:rPr>
          <w:rFonts w:hint="default" w:ascii="Times New Roman" w:hAnsi="Times New Roman" w:cs="Times New Roman"/>
          <w:kern w:val="2"/>
          <w:sz w:val="32"/>
          <w:szCs w:val="32"/>
          <w:lang w:val="en-US" w:eastAsia="zh-CN"/>
        </w:rPr>
        <w:t>1</w:t>
      </w:r>
      <w:r>
        <w:rPr>
          <w:rFonts w:hint="eastAsia" w:cs="Times New Roman"/>
          <w:kern w:val="2"/>
          <w:sz w:val="32"/>
          <w:szCs w:val="32"/>
          <w:lang w:val="en-US" w:eastAsia="zh-CN"/>
        </w:rPr>
        <w:t>.</w:t>
      </w:r>
      <w:r>
        <w:rPr>
          <w:rFonts w:hint="default" w:ascii="Times New Roman" w:hAnsi="Times New Roman" w:cs="Times New Roman"/>
        </w:rPr>
        <w:t>建立健全财务人员培训机制：完善财务人员能力提升体系，制定系统化、常态化的培训计划，重点加强预算管理、会计核算、内部控制等专业领域的业务培训。</w:t>
      </w:r>
    </w:p>
    <w:p w14:paraId="54674ED5">
      <w:pPr>
        <w:pageBreakBefore w:val="0"/>
        <w:widowControl w:val="0"/>
        <w:kinsoku/>
        <w:wordWrap/>
        <w:overflowPunct/>
        <w:topLinePunct w:val="0"/>
        <w:autoSpaceDE/>
        <w:autoSpaceDN/>
        <w:bidi w:val="0"/>
        <w:adjustRightInd/>
        <w:snapToGrid/>
        <w:textAlignment w:val="auto"/>
        <w:rPr>
          <w:rFonts w:hint="default" w:ascii="Times New Roman" w:hAnsi="Times New Roman" w:cs="Times New Roman"/>
        </w:rPr>
      </w:pPr>
      <w:r>
        <w:rPr>
          <w:rFonts w:hint="default" w:ascii="Times New Roman" w:hAnsi="Times New Roman" w:cs="Times New Roman"/>
          <w:kern w:val="2"/>
          <w:sz w:val="32"/>
          <w:szCs w:val="32"/>
          <w:lang w:val="en-US" w:eastAsia="zh-CN"/>
        </w:rPr>
        <w:t>2</w:t>
      </w:r>
      <w:r>
        <w:rPr>
          <w:rFonts w:hint="eastAsia" w:cs="Times New Roman"/>
          <w:kern w:val="2"/>
          <w:sz w:val="32"/>
          <w:szCs w:val="32"/>
          <w:lang w:val="en-US" w:eastAsia="zh-CN"/>
        </w:rPr>
        <w:t>.</w:t>
      </w:r>
      <w:r>
        <w:rPr>
          <w:rFonts w:hint="default" w:ascii="Times New Roman" w:hAnsi="Times New Roman" w:cs="Times New Roman"/>
        </w:rPr>
        <w:t>优化关键业务内部控制流程：聚焦预算管理、资金支付、政府采购等重点领域，科学设计业务流程，明确风险控制点，完善风险防控措施，建立健全事前防范、事中控制、事后监督的全流程管控机制。</w:t>
      </w:r>
    </w:p>
    <w:p w14:paraId="028E6396">
      <w:pPr>
        <w:pStyle w:val="3"/>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cs="黑体"/>
          <w:b w:val="0"/>
          <w:bCs/>
        </w:rPr>
      </w:pPr>
      <w:r>
        <w:rPr>
          <w:rFonts w:hint="eastAsia" w:ascii="黑体" w:hAnsi="黑体" w:eastAsia="黑体" w:cs="黑体"/>
          <w:b w:val="0"/>
          <w:bCs/>
          <w:lang w:val="en-US" w:eastAsia="zh-CN"/>
        </w:rPr>
        <w:t>五、</w:t>
      </w:r>
      <w:r>
        <w:rPr>
          <w:rFonts w:hint="eastAsia" w:ascii="黑体" w:hAnsi="黑体" w:eastAsia="黑体" w:cs="黑体"/>
          <w:b w:val="0"/>
          <w:bCs/>
        </w:rPr>
        <w:t>备注</w:t>
      </w:r>
    </w:p>
    <w:p w14:paraId="56563A3A">
      <w:pPr>
        <w:ind w:firstLine="640"/>
        <w:rPr>
          <w:rFonts w:hint="default" w:ascii="Times New Roman" w:hAnsi="Times New Roman" w:cs="Times New Roman" w:eastAsiaTheme="minorEastAsia"/>
          <w:lang w:eastAsia="zh-CN"/>
        </w:rPr>
      </w:pPr>
      <w:r>
        <w:rPr>
          <w:rFonts w:hint="default" w:ascii="Times New Roman" w:hAnsi="Times New Roman" w:cs="Times New Roman"/>
        </w:rPr>
        <w:t>无</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E077E">
    <w:pPr>
      <w:pStyle w:val="5"/>
      <w:ind w:firstLine="360"/>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5F417">
    <w:pPr>
      <w:pStyle w:val="5"/>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E96EEC2">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3E96EEC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0462F">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EA63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7E961">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B62E">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BB4C3">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4F0F">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3525C"/>
    <w:multiLevelType w:val="singleLevel"/>
    <w:tmpl w:val="6BB3525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E4D12"/>
    <w:rsid w:val="02616860"/>
    <w:rsid w:val="07797F74"/>
    <w:rsid w:val="092C454D"/>
    <w:rsid w:val="0A481111"/>
    <w:rsid w:val="11177B40"/>
    <w:rsid w:val="129B6365"/>
    <w:rsid w:val="13BA11DA"/>
    <w:rsid w:val="186C16C7"/>
    <w:rsid w:val="23727180"/>
    <w:rsid w:val="24675346"/>
    <w:rsid w:val="2573204F"/>
    <w:rsid w:val="26874A73"/>
    <w:rsid w:val="26FB4F86"/>
    <w:rsid w:val="293F6969"/>
    <w:rsid w:val="2CFF648F"/>
    <w:rsid w:val="2D3F470C"/>
    <w:rsid w:val="2E2E2FB7"/>
    <w:rsid w:val="2E6D7F83"/>
    <w:rsid w:val="32213220"/>
    <w:rsid w:val="335B7732"/>
    <w:rsid w:val="33F63385"/>
    <w:rsid w:val="355A7397"/>
    <w:rsid w:val="357409AD"/>
    <w:rsid w:val="3645124A"/>
    <w:rsid w:val="3BCC56C5"/>
    <w:rsid w:val="3FC51635"/>
    <w:rsid w:val="40644F5E"/>
    <w:rsid w:val="414067C7"/>
    <w:rsid w:val="42F8395B"/>
    <w:rsid w:val="448736FC"/>
    <w:rsid w:val="44CC06C5"/>
    <w:rsid w:val="45980FA3"/>
    <w:rsid w:val="48561ACF"/>
    <w:rsid w:val="496050C1"/>
    <w:rsid w:val="4A241BB8"/>
    <w:rsid w:val="4D05239A"/>
    <w:rsid w:val="4E2D0C6E"/>
    <w:rsid w:val="4FA337E6"/>
    <w:rsid w:val="4FEE4D12"/>
    <w:rsid w:val="52F81276"/>
    <w:rsid w:val="548F48DF"/>
    <w:rsid w:val="574F62A7"/>
    <w:rsid w:val="581A2C80"/>
    <w:rsid w:val="5D1C5A4F"/>
    <w:rsid w:val="60392E2E"/>
    <w:rsid w:val="604243EB"/>
    <w:rsid w:val="6151317D"/>
    <w:rsid w:val="64426B0C"/>
    <w:rsid w:val="6A695768"/>
    <w:rsid w:val="6A953768"/>
    <w:rsid w:val="6F6115A8"/>
    <w:rsid w:val="702E6E64"/>
    <w:rsid w:val="705F0618"/>
    <w:rsid w:val="72C963D7"/>
    <w:rsid w:val="72E72932"/>
    <w:rsid w:val="749A7225"/>
    <w:rsid w:val="74DB759E"/>
    <w:rsid w:val="76406B64"/>
    <w:rsid w:val="778D1C32"/>
    <w:rsid w:val="7C571D61"/>
    <w:rsid w:val="7DFF2BFB"/>
    <w:rsid w:val="7F391927"/>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spacing w:beforeAutospacing="0" w:afterAutospacing="0" w:line="560" w:lineRule="exact"/>
      <w:ind w:left="0" w:leftChars="0" w:firstLine="880" w:firstLineChars="200"/>
      <w:jc w:val="left"/>
      <w:outlineLvl w:val="1"/>
    </w:pPr>
    <w:rPr>
      <w:rFonts w:ascii="Arial" w:hAnsi="Arial" w:eastAsia="黑体"/>
      <w:sz w:val="32"/>
    </w:rPr>
  </w:style>
  <w:style w:type="paragraph" w:styleId="3">
    <w:name w:val="heading 3"/>
    <w:basedOn w:val="1"/>
    <w:next w:val="1"/>
    <w:qFormat/>
    <w:uiPriority w:val="0"/>
    <w:pPr>
      <w:keepNext/>
      <w:keepLines/>
      <w:spacing w:beforeLines="0" w:beforeAutospacing="0" w:afterLines="0" w:afterAutospacing="0" w:line="560" w:lineRule="exact"/>
      <w:outlineLvl w:val="2"/>
    </w:pPr>
    <w:rPr>
      <w:rFonts w:eastAsia="楷体_GB2312"/>
      <w:b/>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spacing w:line="240" w:lineRule="atLeast"/>
      <w:jc w:val="left"/>
    </w:pPr>
    <w:rPr>
      <w:sz w:val="18"/>
      <w:szCs w:val="18"/>
    </w:rPr>
  </w:style>
  <w:style w:type="paragraph" w:styleId="6">
    <w:name w:val="header"/>
    <w:basedOn w:val="1"/>
    <w:qFormat/>
    <w:uiPriority w:val="0"/>
    <w:pPr>
      <w:tabs>
        <w:tab w:val="center" w:pos="4153"/>
        <w:tab w:val="right" w:pos="8306"/>
      </w:tabs>
      <w:snapToGrid w:val="0"/>
      <w:spacing w:line="240" w:lineRule="atLeast"/>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d3d030e5-87a1-4a74-bf51-71320de77cef</errorID>
      <errorWord>学生奖助体系</errorWord>
      <group>L1_Political</group>
      <groupName>政治性问题</groupName>
      <ability>L2_Keyword</ability>
      <abilityName>固定表述</abilityName>
      <candidateList>
        <item>学生资助体系</item>
      </candidateList>
      <explain>词汇“学生资助体系”在特定场景下为固定表述形式，请确认此处的“学生奖助体系”是否存在不当。</explain>
      <paraID>46A6F136</paraID>
      <start>66</start>
      <end>72</end>
      <status>modified</status>
      <modifiedWord>学生资助体系</modifiedWord>
      <trackRevisions>false</trackRevisions>
    </reviewItem>
    <reviewItem>
      <errorID>e5b31bc7-58cd-4d58-9554-e57a3f4499cd</errorID>
      <errorWord>余</errorWord>
      <group>L1_Word</group>
      <groupName>字词问题</groupName>
      <ability>L2_Typo</ability>
      <abilityName>字词错误</abilityName>
      <candidateList>
        <item>余人</item>
      </candidateList>
      <explain/>
      <paraID>331AE328</paraID>
      <start>70</start>
      <end>72</end>
      <status>modified</status>
      <modifiedWord>余人</modifiedWord>
      <trackRevisions>false</trackRevisions>
    </reviewItem>
    <reviewItem>
      <errorID>58ca54a3-320a-453b-b855-c16e73f55fc3</errorID>
      <errorWord>予</errorWord>
      <group>L1_Word</group>
      <groupName>字词问题</groupName>
      <ability>L2_Typo</ability>
      <abilityName>字词错误</abilityName>
      <candidateList>
        <item>予以</item>
      </candidateList>
      <explain>〈动〉给以：～支持｜～警告｜～表扬｜～批评。</explain>
      <paraID> D7531C8</paraID>
      <start>192</start>
      <end>194</end>
      <status>modified</status>
      <modifiedWord>予以</modifiedWord>
      <trackRevisions>false</trackRevisions>
    </reviewItem>
    <reviewItem>
      <errorID>af3aec1b-c123-4772-ae54-bdd4c15f3d52</errorID>
      <errorWord>其它</errorWord>
      <group>L1_Word</group>
      <groupName>字词问题</groupName>
      <ability>L2_Alias</ability>
      <abilityName>也作/曾用词</abilityName>
      <candidateList>
        <item>其他</item>
      </candidateList>
      <explain>词汇[其它]为不规范表述或旧称，其规范书面表述为[其他]。</explain>
      <paraID> 6612855</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000d9c-f15a-4bcd-9844-a78853b2760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5052</Words>
  <Characters>5261</Characters>
  <Lines>0</Lines>
  <Paragraphs>0</Paragraphs>
  <TotalTime>0</TotalTime>
  <ScaleCrop>false</ScaleCrop>
  <LinksUpToDate>false</LinksUpToDate>
  <CharactersWithSpaces>5261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2025-03-13T07:54:00Z</dcterms:created>
  <dc:creator>August</dc:creator>
  <cp:lastModifiedBy>咕嘟</cp:lastModifiedBy>
  <cp:lastPrinted>2026-03-31T02:43:00Z</cp:lastPrinted>
  <dcterms:modified xsi:type="dcterms:W3CDTF">2026-09-03T10:42:58Z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96A44D0287DE4F1D8B4EA4656DF9675B_13</vt:lpwstr>
  </property>
  <property fmtid="{D5CDD505-2E9C-101B-9397-08002B2CF9AE}" pid="4" name="KSOTemplateDocerSaveRecord">
    <vt:lpwstr>eyJoZGlkIjoiMzQ2NDNlZDExNmRlNTJhNGZkYjljYTE4OTU0OGExMWEiLCJ1c2VySWQiOiI0NjA2MjE5OTEifQ==</vt:lpwstr>
  </property>
</Properties>
</file>