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6F56B">
      <w:pPr>
        <w:spacing w:line="540" w:lineRule="exact"/>
        <w:jc w:val="center"/>
        <w:rPr>
          <w:rFonts w:ascii="华文中宋" w:hAnsi="华文中宋" w:eastAsia="华文中宋" w:cs="宋体"/>
          <w:b/>
          <w:kern w:val="0"/>
          <w:sz w:val="52"/>
          <w:szCs w:val="52"/>
        </w:rPr>
      </w:pPr>
    </w:p>
    <w:p w14:paraId="7AE35ADF">
      <w:pPr>
        <w:spacing w:line="540" w:lineRule="exact"/>
        <w:jc w:val="center"/>
        <w:rPr>
          <w:rFonts w:hint="eastAsia" w:ascii="方正小标宋_GBK" w:hAnsi="华文中宋" w:eastAsia="方正小标宋_GBK" w:cs="宋体"/>
          <w:b/>
          <w:kern w:val="0"/>
          <w:sz w:val="48"/>
          <w:szCs w:val="48"/>
        </w:rPr>
      </w:pPr>
    </w:p>
    <w:p w14:paraId="4F835553">
      <w:pPr>
        <w:spacing w:line="540" w:lineRule="exact"/>
        <w:jc w:val="center"/>
        <w:rPr>
          <w:rFonts w:hint="eastAsia" w:ascii="方正小标宋_GBK" w:hAnsi="华文中宋" w:eastAsia="方正小标宋_GBK" w:cs="宋体"/>
          <w:b/>
          <w:kern w:val="0"/>
          <w:sz w:val="48"/>
          <w:szCs w:val="48"/>
        </w:rPr>
      </w:pPr>
    </w:p>
    <w:p w14:paraId="2B7CB6F2">
      <w:pPr>
        <w:spacing w:line="540" w:lineRule="exact"/>
        <w:ind w:left="0" w:leftChars="0" w:firstLine="0" w:firstLineChars="0"/>
        <w:jc w:val="both"/>
        <w:rPr>
          <w:rFonts w:hint="eastAsia" w:ascii="方正小标宋_GBK" w:hAnsi="华文中宋" w:eastAsia="方正小标宋_GBK" w:cs="宋体"/>
          <w:b/>
          <w:kern w:val="0"/>
          <w:sz w:val="48"/>
          <w:szCs w:val="48"/>
        </w:rPr>
      </w:pPr>
    </w:p>
    <w:p w14:paraId="5CCB748F">
      <w:pPr>
        <w:spacing w:line="540" w:lineRule="exact"/>
        <w:ind w:left="0" w:leftChars="0" w:firstLine="0" w:firstLineChars="0"/>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A40786E">
      <w:pPr>
        <w:spacing w:line="540" w:lineRule="exact"/>
        <w:jc w:val="center"/>
        <w:rPr>
          <w:rFonts w:ascii="华文中宋" w:hAnsi="华文中宋" w:eastAsia="华文中宋" w:cs="宋体"/>
          <w:b/>
          <w:kern w:val="0"/>
          <w:sz w:val="52"/>
          <w:szCs w:val="52"/>
        </w:rPr>
      </w:pPr>
    </w:p>
    <w:p w14:paraId="640E480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2025</w:t>
      </w:r>
      <w:r>
        <w:rPr>
          <w:rFonts w:hint="eastAsia" w:hAnsi="宋体" w:eastAsia="仿宋_GB2312" w:cs="宋体"/>
          <w:kern w:val="0"/>
          <w:sz w:val="36"/>
          <w:szCs w:val="36"/>
        </w:rPr>
        <w:t>年度）</w:t>
      </w:r>
    </w:p>
    <w:p w14:paraId="1CC5ED27">
      <w:pPr>
        <w:spacing w:line="540" w:lineRule="exact"/>
        <w:jc w:val="center"/>
        <w:rPr>
          <w:rFonts w:hAnsi="宋体" w:eastAsia="仿宋_GB2312" w:cs="宋体"/>
          <w:kern w:val="0"/>
          <w:sz w:val="30"/>
          <w:szCs w:val="30"/>
        </w:rPr>
      </w:pPr>
    </w:p>
    <w:p w14:paraId="736D1FF5">
      <w:pPr>
        <w:spacing w:line="540" w:lineRule="exact"/>
        <w:jc w:val="center"/>
        <w:rPr>
          <w:rFonts w:hAnsi="宋体" w:eastAsia="仿宋_GB2312" w:cs="宋体"/>
          <w:kern w:val="0"/>
          <w:sz w:val="30"/>
          <w:szCs w:val="30"/>
        </w:rPr>
      </w:pPr>
    </w:p>
    <w:p w14:paraId="142CD719">
      <w:pPr>
        <w:spacing w:line="540" w:lineRule="exact"/>
        <w:jc w:val="center"/>
        <w:rPr>
          <w:rFonts w:ascii="方正小标宋_GBK" w:hAnsi="宋体" w:eastAsia="方正小标宋_GBK" w:cs="宋体"/>
          <w:kern w:val="0"/>
          <w:sz w:val="36"/>
          <w:szCs w:val="36"/>
        </w:rPr>
      </w:pPr>
    </w:p>
    <w:p w14:paraId="140DF910">
      <w:pPr>
        <w:spacing w:line="540" w:lineRule="exact"/>
        <w:jc w:val="center"/>
        <w:rPr>
          <w:rFonts w:hAnsi="宋体" w:eastAsia="仿宋_GB2312" w:cs="宋体"/>
          <w:kern w:val="0"/>
          <w:sz w:val="30"/>
          <w:szCs w:val="30"/>
        </w:rPr>
      </w:pPr>
    </w:p>
    <w:p w14:paraId="0600F7FD">
      <w:pPr>
        <w:spacing w:line="540" w:lineRule="exact"/>
        <w:jc w:val="center"/>
        <w:rPr>
          <w:rFonts w:hAnsi="宋体" w:eastAsia="仿宋_GB2312" w:cs="宋体"/>
          <w:kern w:val="0"/>
          <w:sz w:val="30"/>
          <w:szCs w:val="30"/>
        </w:rPr>
      </w:pPr>
    </w:p>
    <w:p w14:paraId="0D6630B0">
      <w:pPr>
        <w:spacing w:line="540" w:lineRule="exact"/>
        <w:jc w:val="center"/>
        <w:rPr>
          <w:rFonts w:hAnsi="宋体" w:eastAsia="仿宋_GB2312" w:cs="宋体"/>
          <w:kern w:val="0"/>
          <w:sz w:val="30"/>
          <w:szCs w:val="30"/>
        </w:rPr>
      </w:pPr>
    </w:p>
    <w:p w14:paraId="6A9D0F5A">
      <w:pPr>
        <w:spacing w:line="540" w:lineRule="exact"/>
        <w:rPr>
          <w:rFonts w:hAnsi="宋体" w:eastAsia="仿宋_GB2312" w:cs="宋体"/>
          <w:kern w:val="0"/>
          <w:sz w:val="30"/>
          <w:szCs w:val="30"/>
        </w:rPr>
      </w:pPr>
    </w:p>
    <w:p w14:paraId="20FACAC4">
      <w:pPr>
        <w:spacing w:line="700" w:lineRule="exact"/>
        <w:ind w:left="0" w:leftChars="0" w:firstLine="0" w:firstLineChars="0"/>
        <w:jc w:val="left"/>
        <w:rPr>
          <w:rFonts w:hAnsi="宋体" w:eastAsia="仿宋_GB2312" w:cs="宋体"/>
          <w:kern w:val="0"/>
          <w:sz w:val="30"/>
          <w:szCs w:val="30"/>
        </w:rPr>
      </w:pPr>
      <w:r>
        <w:rPr>
          <w:rFonts w:hint="eastAsia" w:hAnsi="宋体" w:eastAsia="仿宋_GB2312" w:cs="宋体"/>
          <w:kern w:val="0"/>
          <w:sz w:val="36"/>
          <w:szCs w:val="36"/>
        </w:rPr>
        <w:t>项目名称：</w:t>
      </w:r>
      <w:r>
        <w:rPr>
          <w:rStyle w:val="10"/>
          <w:rFonts w:hint="default" w:ascii="楷体" w:hAnsi="楷体" w:eastAsia="楷体"/>
          <w:spacing w:val="-4"/>
          <w:sz w:val="30"/>
          <w:szCs w:val="30"/>
        </w:rPr>
        <w:t>202</w:t>
      </w:r>
      <w:r>
        <w:rPr>
          <w:rStyle w:val="10"/>
          <w:rFonts w:hint="default" w:ascii="楷体" w:hAnsi="楷体" w:eastAsia="楷体"/>
          <w:spacing w:val="-4"/>
          <w:sz w:val="30"/>
          <w:szCs w:val="30"/>
          <w:lang w:val="en-US" w:eastAsia="zh-CN"/>
        </w:rPr>
        <w:t>5</w:t>
      </w:r>
      <w:r>
        <w:rPr>
          <w:rStyle w:val="10"/>
          <w:rFonts w:hint="default" w:ascii="楷体" w:hAnsi="楷体" w:eastAsia="楷体"/>
          <w:spacing w:val="-4"/>
          <w:sz w:val="30"/>
          <w:szCs w:val="30"/>
        </w:rPr>
        <w:t>年追加安排新疆财经大学北校区搬迁专项</w:t>
      </w:r>
      <w:r>
        <w:rPr>
          <w:rStyle w:val="10"/>
          <w:rFonts w:hint="eastAsia" w:ascii="楷体" w:hAnsi="楷体" w:eastAsia="楷体"/>
          <w:spacing w:val="-4"/>
          <w:sz w:val="30"/>
          <w:szCs w:val="30"/>
          <w:lang w:val="en-US" w:eastAsia="zh-CN"/>
        </w:rPr>
        <w:t>项目</w:t>
      </w:r>
    </w:p>
    <w:p w14:paraId="4F9A36D9">
      <w:pPr>
        <w:spacing w:line="540" w:lineRule="exact"/>
        <w:ind w:left="0" w:leftChars="0" w:firstLine="0" w:firstLineChars="0"/>
        <w:rPr>
          <w:rFonts w:ascii="楷体" w:hAnsi="楷体" w:eastAsia="楷体"/>
          <w:b/>
          <w:bCs/>
          <w:spacing w:val="-4"/>
          <w:sz w:val="32"/>
          <w:szCs w:val="32"/>
        </w:rPr>
      </w:pPr>
      <w:r>
        <w:rPr>
          <w:rFonts w:hint="eastAsia" w:hAnsi="宋体" w:eastAsia="仿宋_GB2312" w:cs="宋体"/>
          <w:kern w:val="0"/>
          <w:sz w:val="36"/>
          <w:szCs w:val="36"/>
        </w:rPr>
        <w:t>实施单位（公章）：</w:t>
      </w:r>
      <w:r>
        <w:rPr>
          <w:rStyle w:val="10"/>
          <w:rFonts w:hint="eastAsia" w:ascii="楷体" w:hAnsi="楷体" w:eastAsia="楷体"/>
          <w:spacing w:val="-4"/>
          <w:sz w:val="32"/>
          <w:szCs w:val="32"/>
        </w:rPr>
        <w:t>新疆财经大学</w:t>
      </w:r>
    </w:p>
    <w:p w14:paraId="421864A6">
      <w:pPr>
        <w:spacing w:line="540" w:lineRule="exact"/>
        <w:ind w:left="0" w:leftChars="0" w:firstLine="0" w:firstLineChars="0"/>
        <w:rPr>
          <w:rFonts w:ascii="楷体" w:hAnsi="楷体" w:eastAsia="楷体"/>
          <w:b/>
          <w:bCs/>
          <w:spacing w:val="-4"/>
          <w:sz w:val="32"/>
          <w:szCs w:val="32"/>
        </w:rPr>
      </w:pPr>
      <w:r>
        <w:rPr>
          <w:rFonts w:hint="eastAsia" w:hAnsi="宋体" w:eastAsia="仿宋_GB2312" w:cs="宋体"/>
          <w:kern w:val="0"/>
          <w:sz w:val="36"/>
          <w:szCs w:val="36"/>
        </w:rPr>
        <w:t>主管部门（公章）：</w:t>
      </w:r>
      <w:r>
        <w:rPr>
          <w:rStyle w:val="10"/>
          <w:rFonts w:hint="eastAsia" w:ascii="楷体" w:hAnsi="楷体" w:eastAsia="楷体"/>
          <w:spacing w:val="-4"/>
          <w:sz w:val="32"/>
          <w:szCs w:val="32"/>
        </w:rPr>
        <w:t>新疆财经大学</w:t>
      </w:r>
    </w:p>
    <w:p w14:paraId="49A8AF47">
      <w:pPr>
        <w:spacing w:line="540" w:lineRule="exact"/>
        <w:ind w:left="0" w:leftChars="0" w:firstLine="0" w:firstLineChars="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0"/>
          <w:rFonts w:hint="eastAsia" w:ascii="楷体" w:hAnsi="楷体" w:eastAsia="楷体"/>
          <w:spacing w:val="-4"/>
          <w:sz w:val="32"/>
          <w:szCs w:val="32"/>
        </w:rPr>
        <w:t>居来提·吐尔地</w:t>
      </w:r>
    </w:p>
    <w:p w14:paraId="0E1567B0">
      <w:pPr>
        <w:spacing w:line="540" w:lineRule="exact"/>
        <w:ind w:left="0" w:leftChars="0" w:firstLine="0" w:firstLineChars="0"/>
        <w:rPr>
          <w:rStyle w:val="10"/>
          <w:rFonts w:ascii="楷体" w:hAnsi="楷体" w:eastAsia="楷体"/>
          <w:spacing w:val="-4"/>
          <w:sz w:val="32"/>
          <w:szCs w:val="32"/>
        </w:rPr>
      </w:pPr>
      <w:r>
        <w:rPr>
          <w:rFonts w:hint="eastAsia" w:hAnsi="宋体" w:eastAsia="仿宋_GB2312" w:cs="宋体"/>
          <w:kern w:val="0"/>
          <w:sz w:val="36"/>
          <w:szCs w:val="36"/>
        </w:rPr>
        <w:t>填报时间：</w:t>
      </w:r>
      <w:r>
        <w:rPr>
          <w:rStyle w:val="10"/>
          <w:rFonts w:hint="eastAsia" w:ascii="楷体" w:hAnsi="楷体" w:eastAsia="楷体"/>
          <w:spacing w:val="-4"/>
          <w:sz w:val="32"/>
          <w:szCs w:val="32"/>
        </w:rPr>
        <w:t>202</w:t>
      </w:r>
      <w:r>
        <w:rPr>
          <w:rStyle w:val="10"/>
          <w:rFonts w:hint="eastAsia" w:ascii="楷体" w:hAnsi="楷体" w:eastAsia="楷体"/>
          <w:spacing w:val="-4"/>
          <w:sz w:val="32"/>
          <w:szCs w:val="32"/>
          <w:lang w:val="en-US" w:eastAsia="zh-CN"/>
        </w:rPr>
        <w:t>6</w:t>
      </w:r>
      <w:r>
        <w:rPr>
          <w:rStyle w:val="10"/>
          <w:rFonts w:hint="eastAsia" w:ascii="楷体" w:hAnsi="楷体" w:eastAsia="楷体"/>
          <w:spacing w:val="-4"/>
          <w:sz w:val="32"/>
          <w:szCs w:val="32"/>
        </w:rPr>
        <w:t>年03月</w:t>
      </w:r>
      <w:r>
        <w:rPr>
          <w:rStyle w:val="10"/>
          <w:rFonts w:hint="eastAsia" w:ascii="楷体" w:hAnsi="楷体" w:eastAsia="楷体"/>
          <w:spacing w:val="-4"/>
          <w:sz w:val="32"/>
          <w:szCs w:val="32"/>
          <w:lang w:val="en-US" w:eastAsia="zh-CN"/>
        </w:rPr>
        <w:t>23</w:t>
      </w:r>
      <w:r>
        <w:rPr>
          <w:rStyle w:val="10"/>
          <w:rFonts w:hint="eastAsia" w:ascii="楷体" w:hAnsi="楷体" w:eastAsia="楷体"/>
          <w:spacing w:val="-4"/>
          <w:sz w:val="32"/>
          <w:szCs w:val="32"/>
        </w:rPr>
        <w:t>日</w:t>
      </w:r>
    </w:p>
    <w:p w14:paraId="00F8442F">
      <w:pPr>
        <w:spacing w:before="468" w:beforeLines="150"/>
        <w:ind w:firstLine="0" w:firstLineChars="0"/>
        <w:jc w:val="center"/>
        <w:rPr>
          <w:rFonts w:hint="default" w:ascii="Times New Roman" w:hAnsi="Times New Roman" w:eastAsia="方正小标宋简体" w:cs="Times New Roman"/>
          <w:sz w:val="44"/>
          <w:szCs w:val="44"/>
        </w:rPr>
      </w:pPr>
    </w:p>
    <w:p w14:paraId="496933DE">
      <w:pPr>
        <w:spacing w:before="468" w:beforeLines="150"/>
        <w:ind w:firstLine="0" w:firstLineChars="0"/>
        <w:jc w:val="center"/>
        <w:rPr>
          <w:rFonts w:hint="default" w:ascii="Times New Roman" w:hAnsi="Times New Roman" w:eastAsia="方正小标宋简体" w:cs="Times New Roman"/>
          <w:sz w:val="44"/>
          <w:szCs w:val="44"/>
        </w:rPr>
      </w:pPr>
    </w:p>
    <w:p w14:paraId="35BD639B">
      <w:pPr>
        <w:spacing w:before="468" w:beforeLines="150"/>
        <w:ind w:firstLine="0" w:firstLineChars="0"/>
        <w:jc w:val="both"/>
        <w:rPr>
          <w:rFonts w:hint="default" w:ascii="Times New Roman" w:hAnsi="Times New Roman" w:eastAsia="方正小标宋简体" w:cs="Times New Roman"/>
          <w:sz w:val="44"/>
          <w:szCs w:val="44"/>
        </w:rPr>
      </w:pPr>
      <w:bookmarkStart w:id="0" w:name="_GoBack"/>
      <w:bookmarkEnd w:id="0"/>
    </w:p>
    <w:p w14:paraId="6DC70230">
      <w:pPr>
        <w:spacing w:before="468" w:beforeLines="150"/>
        <w:ind w:firstLine="0" w:firstLineChars="0"/>
        <w:jc w:val="center"/>
        <w:rPr>
          <w:rFonts w:hint="default" w:ascii="Times New Roman" w:hAnsi="Times New Roman" w:eastAsia="方正小标宋简体" w:cs="Times New Roman"/>
          <w:sz w:val="44"/>
          <w:szCs w:val="44"/>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718659DF">
      <w:pPr>
        <w:spacing w:before="468" w:beforeLines="150"/>
        <w:ind w:firstLine="0" w:firstLineChar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5</w:t>
      </w:r>
      <w:r>
        <w:rPr>
          <w:rFonts w:hint="default" w:ascii="Times New Roman" w:hAnsi="Times New Roman" w:eastAsia="方正小标宋简体" w:cs="Times New Roman"/>
          <w:sz w:val="44"/>
          <w:szCs w:val="44"/>
        </w:rPr>
        <w:t>年追加安排新疆财经大学北校区搬迁专项经费</w:t>
      </w:r>
      <w:r>
        <w:rPr>
          <w:rFonts w:hint="eastAsia" w:eastAsia="方正小标宋简体" w:cs="Times New Roman"/>
          <w:sz w:val="44"/>
          <w:szCs w:val="44"/>
          <w:lang w:val="en-US" w:eastAsia="zh-CN"/>
        </w:rPr>
        <w:t>项目</w:t>
      </w:r>
      <w:r>
        <w:rPr>
          <w:rFonts w:hint="default" w:ascii="Times New Roman" w:hAnsi="Times New Roman" w:eastAsia="方正小标宋简体" w:cs="Times New Roman"/>
          <w:sz w:val="44"/>
          <w:szCs w:val="44"/>
        </w:rPr>
        <w:t>绩效自评报告</w:t>
      </w:r>
    </w:p>
    <w:p w14:paraId="6653F516">
      <w:pPr>
        <w:pStyle w:val="2"/>
        <w:ind w:firstLine="320" w:firstLineChars="100"/>
        <w:rPr>
          <w:rFonts w:hint="default" w:ascii="Times New Roman" w:hAnsi="Times New Roman" w:cs="Times New Roman"/>
        </w:rPr>
      </w:pPr>
    </w:p>
    <w:p w14:paraId="71246EAC">
      <w:pPr>
        <w:pStyle w:val="2"/>
        <w:ind w:firstLine="320" w:firstLineChars="100"/>
        <w:rPr>
          <w:rFonts w:hint="default" w:ascii="Times New Roman" w:hAnsi="Times New Roman" w:cs="Times New Roman"/>
        </w:rPr>
      </w:pPr>
      <w:r>
        <w:rPr>
          <w:rFonts w:hint="default" w:ascii="Times New Roman" w:hAnsi="Times New Roman" w:cs="Times New Roman"/>
        </w:rPr>
        <w:t>一、基本情况</w:t>
      </w:r>
    </w:p>
    <w:p w14:paraId="718BE071">
      <w:pPr>
        <w:ind w:firstLine="640"/>
        <w:rPr>
          <w:rFonts w:hint="default" w:ascii="Times New Roman" w:hAnsi="Times New Roman" w:cs="Times New Roman"/>
        </w:rPr>
      </w:pPr>
      <w:r>
        <w:rPr>
          <w:rFonts w:hint="default" w:ascii="Times New Roman" w:hAnsi="Times New Roman" w:cs="Times New Roman"/>
        </w:rPr>
        <w:t>1</w:t>
      </w:r>
      <w:r>
        <w:rPr>
          <w:rFonts w:hint="eastAsia" w:cs="Times New Roman"/>
          <w:lang w:val="en-US" w:eastAsia="zh-CN"/>
        </w:rPr>
        <w:t>.</w:t>
      </w:r>
      <w:r>
        <w:rPr>
          <w:rFonts w:hint="default" w:ascii="Times New Roman" w:hAnsi="Times New Roman" w:cs="Times New Roman"/>
        </w:rPr>
        <w:t>项目名称：2025年追加安排新疆财经大学北校区搬迁专项经费项目</w:t>
      </w:r>
    </w:p>
    <w:p w14:paraId="59325101">
      <w:pPr>
        <w:ind w:firstLine="640"/>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预算单位：新疆财经大学</w:t>
      </w:r>
    </w:p>
    <w:p w14:paraId="67F5ABAD">
      <w:pPr>
        <w:ind w:firstLine="640"/>
        <w:rPr>
          <w:rFonts w:hint="default" w:ascii="Times New Roman" w:hAnsi="Times New Roman" w:cs="Times New Roman"/>
        </w:rPr>
      </w:pPr>
      <w:r>
        <w:rPr>
          <w:rFonts w:hint="default" w:ascii="Times New Roman" w:hAnsi="Times New Roman" w:cs="Times New Roman"/>
        </w:rPr>
        <w:t>3</w:t>
      </w:r>
      <w:r>
        <w:rPr>
          <w:rFonts w:hint="eastAsia" w:cs="Times New Roman"/>
          <w:lang w:val="en-US" w:eastAsia="zh-CN"/>
        </w:rPr>
        <w:t>.</w:t>
      </w:r>
      <w:r>
        <w:rPr>
          <w:rFonts w:hint="default" w:ascii="Times New Roman" w:hAnsi="Times New Roman" w:cs="Times New Roman"/>
        </w:rPr>
        <w:t>项目开始日期：202</w:t>
      </w:r>
      <w:r>
        <w:rPr>
          <w:rFonts w:hint="default" w:ascii="Times New Roman" w:hAnsi="Times New Roman" w:cs="Times New Roman"/>
          <w:lang w:val="en-US" w:eastAsia="zh-CN"/>
        </w:rPr>
        <w:t>5</w:t>
      </w:r>
      <w:r>
        <w:rPr>
          <w:rFonts w:hint="default" w:ascii="Times New Roman" w:hAnsi="Times New Roman" w:cs="Times New Roman"/>
        </w:rPr>
        <w:t>-0</w:t>
      </w:r>
      <w:r>
        <w:rPr>
          <w:rFonts w:hint="eastAsia" w:cs="Times New Roman"/>
          <w:lang w:val="en-US" w:eastAsia="zh-CN"/>
        </w:rPr>
        <w:t>9</w:t>
      </w:r>
      <w:r>
        <w:rPr>
          <w:rFonts w:hint="default" w:ascii="Times New Roman" w:hAnsi="Times New Roman" w:cs="Times New Roman"/>
        </w:rPr>
        <w:t>-01</w:t>
      </w:r>
    </w:p>
    <w:p w14:paraId="49935C69">
      <w:pPr>
        <w:ind w:firstLine="640"/>
        <w:rPr>
          <w:rFonts w:hint="default" w:ascii="Times New Roman" w:hAnsi="Times New Roman" w:cs="Times New Roman"/>
        </w:rPr>
      </w:pPr>
      <w:r>
        <w:rPr>
          <w:rFonts w:hint="default" w:ascii="Times New Roman" w:hAnsi="Times New Roman" w:cs="Times New Roman"/>
        </w:rPr>
        <w:t>4</w:t>
      </w:r>
      <w:r>
        <w:rPr>
          <w:rFonts w:hint="eastAsia" w:cs="Times New Roman"/>
          <w:lang w:val="en-US" w:eastAsia="zh-CN"/>
        </w:rPr>
        <w:t>.</w:t>
      </w:r>
      <w:r>
        <w:rPr>
          <w:rFonts w:hint="default" w:ascii="Times New Roman" w:hAnsi="Times New Roman" w:cs="Times New Roman"/>
        </w:rPr>
        <w:t>项目结束日期：202</w:t>
      </w:r>
      <w:r>
        <w:rPr>
          <w:rFonts w:hint="default" w:ascii="Times New Roman" w:hAnsi="Times New Roman" w:cs="Times New Roman"/>
          <w:lang w:val="en-US" w:eastAsia="zh-CN"/>
        </w:rPr>
        <w:t>5</w:t>
      </w:r>
      <w:r>
        <w:rPr>
          <w:rFonts w:hint="default" w:ascii="Times New Roman" w:hAnsi="Times New Roman" w:cs="Times New Roman"/>
        </w:rPr>
        <w:t>-12-31</w:t>
      </w:r>
    </w:p>
    <w:p w14:paraId="72BAB004">
      <w:pPr>
        <w:ind w:firstLine="640"/>
        <w:rPr>
          <w:rFonts w:hint="default" w:ascii="Times New Roman" w:hAnsi="Times New Roman" w:cs="Times New Roman"/>
        </w:rPr>
      </w:pPr>
      <w:r>
        <w:rPr>
          <w:rFonts w:hint="default" w:ascii="Times New Roman" w:hAnsi="Times New Roman" w:cs="Times New Roman"/>
        </w:rPr>
        <w:t>5</w:t>
      </w:r>
      <w:r>
        <w:rPr>
          <w:rFonts w:hint="eastAsia" w:cs="Times New Roman"/>
          <w:lang w:val="en-US" w:eastAsia="zh-CN"/>
        </w:rPr>
        <w:t>.</w:t>
      </w:r>
      <w:r>
        <w:rPr>
          <w:rFonts w:hint="default" w:ascii="Times New Roman" w:hAnsi="Times New Roman" w:cs="Times New Roman"/>
        </w:rPr>
        <w:t>预算执行情况（万元）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2993"/>
      </w:tblGrid>
      <w:tr w14:paraId="61FC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566" w:type="dxa"/>
            <w:noWrap w:val="0"/>
            <w:vAlign w:val="center"/>
          </w:tcPr>
          <w:p w14:paraId="47A5FAC9">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年初预算数</w:t>
            </w:r>
          </w:p>
        </w:tc>
        <w:tc>
          <w:tcPr>
            <w:tcW w:w="2993" w:type="dxa"/>
            <w:noWrap w:val="0"/>
            <w:vAlign w:val="center"/>
          </w:tcPr>
          <w:p w14:paraId="6014EAB7">
            <w:pPr>
              <w:ind w:firstLine="0" w:firstLineChars="0"/>
              <w:jc w:val="center"/>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1500</w:t>
            </w:r>
          </w:p>
        </w:tc>
      </w:tr>
      <w:tr w14:paraId="30A2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566" w:type="dxa"/>
            <w:noWrap w:val="0"/>
            <w:vAlign w:val="center"/>
          </w:tcPr>
          <w:p w14:paraId="7DAD6BC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全年执行数</w:t>
            </w:r>
          </w:p>
        </w:tc>
        <w:tc>
          <w:tcPr>
            <w:tcW w:w="2993" w:type="dxa"/>
            <w:noWrap w:val="0"/>
            <w:vAlign w:val="center"/>
          </w:tcPr>
          <w:p w14:paraId="7E2CAE0E">
            <w:pPr>
              <w:ind w:firstLine="0" w:firstLineChars="0"/>
              <w:jc w:val="center"/>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1500</w:t>
            </w:r>
          </w:p>
        </w:tc>
      </w:tr>
      <w:tr w14:paraId="26B4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566" w:type="dxa"/>
            <w:noWrap w:val="0"/>
            <w:vAlign w:val="center"/>
          </w:tcPr>
          <w:p w14:paraId="73A82CF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全年执行率</w:t>
            </w:r>
          </w:p>
        </w:tc>
        <w:tc>
          <w:tcPr>
            <w:tcW w:w="2993" w:type="dxa"/>
            <w:noWrap w:val="0"/>
            <w:vAlign w:val="center"/>
          </w:tcPr>
          <w:p w14:paraId="3A292D1D">
            <w:pPr>
              <w:ind w:firstLine="0" w:firstLineChars="0"/>
              <w:jc w:val="center"/>
              <w:rPr>
                <w:rFonts w:hint="default" w:ascii="Times New Roman" w:hAnsi="Times New Roman" w:eastAsia="宋体" w:cs="Times New Roman"/>
                <w:sz w:val="21"/>
                <w:szCs w:val="21"/>
              </w:rPr>
            </w:pPr>
            <w:r>
              <w:rPr>
                <w:rFonts w:hint="eastAsia" w:eastAsia="宋体" w:cs="Times New Roman"/>
                <w:sz w:val="21"/>
                <w:szCs w:val="21"/>
                <w:lang w:val="en-US" w:eastAsia="zh-CN"/>
              </w:rPr>
              <w:t>100</w:t>
            </w:r>
            <w:r>
              <w:rPr>
                <w:rFonts w:hint="default" w:ascii="Times New Roman" w:hAnsi="Times New Roman" w:eastAsia="宋体" w:cs="Times New Roman"/>
                <w:sz w:val="21"/>
                <w:szCs w:val="21"/>
              </w:rPr>
              <w:t>%</w:t>
            </w:r>
          </w:p>
        </w:tc>
      </w:tr>
    </w:tbl>
    <w:p w14:paraId="511A8E06">
      <w:pPr>
        <w:ind w:firstLine="640"/>
        <w:rPr>
          <w:rFonts w:hint="default" w:ascii="Times New Roman" w:hAnsi="Times New Roman" w:cs="Times New Roman"/>
        </w:rPr>
      </w:pPr>
      <w:r>
        <w:rPr>
          <w:rFonts w:hint="default" w:ascii="Times New Roman" w:hAnsi="Times New Roman" w:cs="Times New Roman"/>
        </w:rPr>
        <w:t>6</w:t>
      </w:r>
      <w:r>
        <w:rPr>
          <w:rFonts w:hint="eastAsia" w:cs="Times New Roman"/>
          <w:lang w:val="en-US" w:eastAsia="zh-CN"/>
        </w:rPr>
        <w:t>.</w:t>
      </w:r>
      <w:r>
        <w:rPr>
          <w:rFonts w:hint="default" w:ascii="Times New Roman" w:hAnsi="Times New Roman" w:cs="Times New Roman"/>
        </w:rPr>
        <w:t>目标完成情况</w:t>
      </w:r>
    </w:p>
    <w:p w14:paraId="54E22576">
      <w:pPr>
        <w:ind w:firstLine="643"/>
        <w:rPr>
          <w:rFonts w:hint="default" w:ascii="Times New Roman" w:hAnsi="Times New Roman" w:cs="Times New Roman"/>
          <w:b/>
          <w:bCs w:val="0"/>
        </w:rPr>
      </w:pPr>
      <w:r>
        <w:rPr>
          <w:rFonts w:hint="default" w:ascii="Times New Roman" w:hAnsi="Times New Roman" w:cs="Times New Roman"/>
          <w:b/>
          <w:bCs w:val="0"/>
        </w:rPr>
        <w:t>（1）年度预期目标：</w:t>
      </w:r>
    </w:p>
    <w:p w14:paraId="5B172D20">
      <w:pPr>
        <w:keepNext w:val="0"/>
        <w:keepLines w:val="0"/>
        <w:pageBreakBefore w:val="0"/>
        <w:widowControl w:val="0"/>
        <w:kinsoku/>
        <w:wordWrap/>
        <w:overflowPunct/>
        <w:topLinePunct w:val="0"/>
        <w:autoSpaceDE/>
        <w:autoSpaceDN/>
        <w:bidi w:val="0"/>
        <w:adjustRightInd/>
        <w:snapToGrid/>
        <w:ind w:firstLine="643"/>
        <w:textAlignment w:val="auto"/>
        <w:rPr>
          <w:rFonts w:hint="default" w:ascii="Times New Roman" w:hAnsi="Times New Roman" w:cs="Times New Roman"/>
        </w:rPr>
      </w:pPr>
      <w:r>
        <w:rPr>
          <w:rFonts w:hint="eastAsia" w:cs="Times New Roman"/>
          <w:lang w:val="en-US" w:eastAsia="zh-CN"/>
        </w:rPr>
        <w:t>1.</w:t>
      </w:r>
      <w:r>
        <w:rPr>
          <w:rFonts w:hint="default" w:ascii="Times New Roman" w:hAnsi="Times New Roman" w:cs="Times New Roman"/>
        </w:rPr>
        <w:t>紧扣学校办学发展需求，稳步推进</w:t>
      </w:r>
      <w:r>
        <w:rPr>
          <w:rFonts w:hint="eastAsia" w:cs="Times New Roman"/>
          <w:lang w:val="en-US" w:eastAsia="zh-CN"/>
        </w:rPr>
        <w:t>北</w:t>
      </w:r>
      <w:r>
        <w:rPr>
          <w:rFonts w:hint="default" w:ascii="Times New Roman" w:hAnsi="Times New Roman" w:cs="Times New Roman"/>
        </w:rPr>
        <w:t>校区搬迁相关的宿舍改造、教学物资购置、楼寓环境整治等工作，全力改善学生住宿与教学办学条件。完成925间学生宿舍改造工作，配齐实验室</w:t>
      </w:r>
      <w:r>
        <w:rPr>
          <w:rFonts w:hint="eastAsia" w:cs="Times New Roman"/>
          <w:lang w:val="en-US" w:eastAsia="zh-CN"/>
        </w:rPr>
        <w:t>及教室</w:t>
      </w:r>
      <w:r>
        <w:rPr>
          <w:rFonts w:hint="default" w:ascii="Times New Roman" w:hAnsi="Times New Roman" w:cs="Times New Roman"/>
        </w:rPr>
        <w:t>桌椅，补齐校园硬件设施短板，优化校园学习生活环境</w:t>
      </w:r>
      <w:r>
        <w:rPr>
          <w:rFonts w:hint="eastAsia" w:cs="Times New Roman"/>
          <w:lang w:eastAsia="zh-CN"/>
        </w:rPr>
        <w:t>，实现2025年秋季学期如期开学的既定目标</w:t>
      </w:r>
      <w:r>
        <w:rPr>
          <w:rFonts w:hint="default" w:ascii="Times New Roman" w:hAnsi="Times New Roman" w:cs="Times New Roman"/>
        </w:rPr>
        <w:t>。</w:t>
      </w:r>
    </w:p>
    <w:p w14:paraId="54673F86">
      <w:pPr>
        <w:keepNext w:val="0"/>
        <w:keepLines w:val="0"/>
        <w:pageBreakBefore w:val="0"/>
        <w:widowControl w:val="0"/>
        <w:kinsoku/>
        <w:wordWrap/>
        <w:overflowPunct/>
        <w:topLinePunct w:val="0"/>
        <w:autoSpaceDE/>
        <w:autoSpaceDN/>
        <w:bidi w:val="0"/>
        <w:adjustRightInd/>
        <w:snapToGrid/>
        <w:ind w:firstLine="643"/>
        <w:textAlignment w:val="auto"/>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严把校园修缮改造项目质量关口，严守工程建设规范标准，从严把控项目施工、验收全流程，确保各类基建、修缮项目验收合格率达到100%，全力打造合规达标、质量过硬的校园工程项目，筑牢校园硬件设施安全根基。</w:t>
      </w:r>
    </w:p>
    <w:p w14:paraId="19D04E1C">
      <w:pPr>
        <w:ind w:firstLine="643"/>
        <w:rPr>
          <w:rFonts w:hint="default" w:ascii="Times New Roman" w:hAnsi="Times New Roman" w:cs="Times New Roman"/>
        </w:rPr>
      </w:pPr>
      <w:r>
        <w:rPr>
          <w:rFonts w:hint="default" w:ascii="Times New Roman" w:hAnsi="Times New Roman" w:cs="Times New Roman"/>
        </w:rPr>
        <w:t>3</w:t>
      </w:r>
      <w:r>
        <w:rPr>
          <w:rFonts w:hint="eastAsia" w:cs="Times New Roman"/>
          <w:lang w:val="en-US" w:eastAsia="zh-CN"/>
        </w:rPr>
        <w:t>.</w:t>
      </w:r>
      <w:r>
        <w:rPr>
          <w:rFonts w:hint="default" w:ascii="Times New Roman" w:hAnsi="Times New Roman" w:cs="Times New Roman"/>
        </w:rPr>
        <w:t>紧盯项目建设时限要求，压实工作责任，细化施工进度安排，高效统筹推进</w:t>
      </w:r>
      <w:r>
        <w:rPr>
          <w:rFonts w:hint="eastAsia" w:cs="Times New Roman"/>
          <w:lang w:val="en-US" w:eastAsia="zh-CN"/>
        </w:rPr>
        <w:t>北校区</w:t>
      </w:r>
      <w:r>
        <w:rPr>
          <w:rFonts w:hint="default" w:ascii="Times New Roman" w:hAnsi="Times New Roman" w:cs="Times New Roman"/>
        </w:rPr>
        <w:t>校园修缮、物资采购</w:t>
      </w:r>
      <w:r>
        <w:rPr>
          <w:rFonts w:hint="eastAsia" w:cs="Times New Roman"/>
          <w:lang w:val="en-US" w:eastAsia="zh-CN"/>
        </w:rPr>
        <w:t>等</w:t>
      </w:r>
      <w:r>
        <w:rPr>
          <w:rFonts w:hint="default" w:ascii="Times New Roman" w:hAnsi="Times New Roman" w:cs="Times New Roman"/>
        </w:rPr>
        <w:t>工作，确保既定</w:t>
      </w:r>
      <w:r>
        <w:rPr>
          <w:rFonts w:hint="eastAsia" w:cs="Times New Roman"/>
          <w:lang w:val="en-US" w:eastAsia="zh-CN"/>
        </w:rPr>
        <w:t>维修</w:t>
      </w:r>
      <w:r>
        <w:rPr>
          <w:rFonts w:hint="default" w:ascii="Times New Roman" w:hAnsi="Times New Roman" w:cs="Times New Roman"/>
        </w:rPr>
        <w:t>改造、设施购置项目完成率达到100%，不拖延、不滞后，保障项目按时交付使用。</w:t>
      </w:r>
    </w:p>
    <w:p w14:paraId="17BF53CA">
      <w:pPr>
        <w:ind w:firstLine="643"/>
        <w:rPr>
          <w:rFonts w:hint="default" w:ascii="Times New Roman" w:hAnsi="Times New Roman" w:cs="Times New Roman"/>
        </w:rPr>
      </w:pPr>
      <w:r>
        <w:rPr>
          <w:rFonts w:hint="default" w:ascii="Times New Roman" w:hAnsi="Times New Roman" w:cs="Times New Roman"/>
        </w:rPr>
        <w:t>4</w:t>
      </w:r>
      <w:r>
        <w:rPr>
          <w:rFonts w:hint="eastAsia" w:cs="Times New Roman"/>
          <w:lang w:val="en-US" w:eastAsia="zh-CN"/>
        </w:rPr>
        <w:t>.</w:t>
      </w:r>
      <w:r>
        <w:rPr>
          <w:rFonts w:hint="default" w:ascii="Times New Roman" w:hAnsi="Times New Roman" w:cs="Times New Roman"/>
        </w:rPr>
        <w:t>严格把控项目投资成本，规范经费使用管理，严守资金使用标准，严控各项开支，做到专款专用、精打细算，确保</w:t>
      </w:r>
      <w:r>
        <w:rPr>
          <w:rFonts w:hint="eastAsia" w:cs="Times New Roman"/>
          <w:lang w:val="en-US" w:eastAsia="zh-CN"/>
        </w:rPr>
        <w:t>北校区维修改造</w:t>
      </w:r>
      <w:r>
        <w:rPr>
          <w:rFonts w:hint="default" w:ascii="Times New Roman" w:hAnsi="Times New Roman" w:cs="Times New Roman"/>
        </w:rPr>
        <w:t>、设施购置等项目投资总成本控制在1500万元，实现资金规范高效使用。</w:t>
      </w:r>
    </w:p>
    <w:p w14:paraId="1B32436E">
      <w:pPr>
        <w:ind w:firstLine="643"/>
        <w:rPr>
          <w:rFonts w:hint="default" w:ascii="Times New Roman" w:hAnsi="Times New Roman" w:cs="Times New Roman"/>
        </w:rPr>
      </w:pPr>
      <w:r>
        <w:rPr>
          <w:rFonts w:hint="default" w:ascii="Times New Roman" w:hAnsi="Times New Roman" w:cs="Times New Roman"/>
        </w:rPr>
        <w:t>5</w:t>
      </w:r>
      <w:r>
        <w:rPr>
          <w:rFonts w:hint="eastAsia" w:cs="Times New Roman"/>
          <w:lang w:val="en-US" w:eastAsia="zh-CN"/>
        </w:rPr>
        <w:t>.</w:t>
      </w:r>
      <w:r>
        <w:rPr>
          <w:rFonts w:hint="default" w:ascii="Times New Roman" w:hAnsi="Times New Roman" w:cs="Times New Roman"/>
        </w:rPr>
        <w:t>全力提升各类校舍、教学设施投入使用率，确保修缮</w:t>
      </w:r>
      <w:r>
        <w:rPr>
          <w:rFonts w:hint="eastAsia" w:cs="Times New Roman"/>
          <w:lang w:eastAsia="zh-CN"/>
        </w:rPr>
        <w:t>、</w:t>
      </w:r>
      <w:r>
        <w:rPr>
          <w:rFonts w:hint="eastAsia" w:cs="Times New Roman"/>
          <w:lang w:val="en-US" w:eastAsia="zh-CN"/>
        </w:rPr>
        <w:t>改造</w:t>
      </w:r>
      <w:r>
        <w:rPr>
          <w:rFonts w:hint="default" w:ascii="Times New Roman" w:hAnsi="Times New Roman" w:cs="Times New Roman"/>
        </w:rPr>
        <w:t>完成的学生宿舍、实验室、教室等硬件设施全面投用，设施投入使用率达到100%，杜绝资源闲置浪费，最大化发挥办学设施服务教学的效用。</w:t>
      </w:r>
    </w:p>
    <w:p w14:paraId="70E05CA5">
      <w:pPr>
        <w:numPr>
          <w:ilvl w:val="0"/>
          <w:numId w:val="0"/>
        </w:numPr>
        <w:ind w:firstLine="640" w:firstLineChars="200"/>
        <w:rPr>
          <w:rFonts w:hint="default" w:ascii="Times New Roman" w:hAnsi="Times New Roman" w:cs="Times New Roman"/>
        </w:rPr>
      </w:pPr>
      <w:r>
        <w:rPr>
          <w:rFonts w:hint="eastAsia" w:cs="Times New Roman"/>
          <w:lang w:val="en-US" w:eastAsia="zh-CN"/>
        </w:rPr>
        <w:t>6.</w:t>
      </w:r>
      <w:r>
        <w:rPr>
          <w:rFonts w:hint="default" w:ascii="Times New Roman" w:hAnsi="Times New Roman" w:cs="Times New Roman"/>
        </w:rPr>
        <w:t>立足服务全校师生的办学宗旨，通过校园硬件设施升级、办学条件改善，切实惠及广大学生，保障受益学生人数不低于4000人，优化学生学习、住宿环境，提升师生校园生活幸福感与归属感，助力学校平稳有序办学。</w:t>
      </w:r>
    </w:p>
    <w:p w14:paraId="565E13C0">
      <w:pPr>
        <w:numPr>
          <w:ilvl w:val="0"/>
          <w:numId w:val="0"/>
        </w:numPr>
        <w:ind w:firstLine="643" w:firstLineChars="200"/>
        <w:rPr>
          <w:rFonts w:hint="default" w:ascii="Times New Roman" w:hAnsi="Times New Roman" w:cs="Times New Roman"/>
          <w:b/>
          <w:color w:val="auto"/>
        </w:rPr>
      </w:pPr>
      <w:r>
        <w:rPr>
          <w:rFonts w:hint="default" w:ascii="Times New Roman" w:hAnsi="Times New Roman" w:cs="Times New Roman"/>
          <w:b/>
          <w:color w:val="auto"/>
        </w:rPr>
        <w:t>（2）实际完成目标：</w:t>
      </w:r>
    </w:p>
    <w:p w14:paraId="6CCF6C0F">
      <w:pPr>
        <w:rPr>
          <w:rFonts w:hint="default" w:ascii="Times New Roman" w:hAnsi="Times New Roman" w:cs="Times New Roman"/>
        </w:rPr>
      </w:pPr>
      <w:r>
        <w:rPr>
          <w:rFonts w:hint="default" w:ascii="Times New Roman" w:hAnsi="Times New Roman" w:cs="Times New Roman"/>
        </w:rPr>
        <w:t>北校区搬迁相关的宿舍改造、教学物资购置、楼寓环境整治等工作均按要求完成，切实</w:t>
      </w:r>
      <w:r>
        <w:rPr>
          <w:rFonts w:hint="eastAsia" w:cs="Times New Roman"/>
          <w:lang w:val="en-US" w:eastAsia="zh-CN"/>
        </w:rPr>
        <w:t>改善办学条件</w:t>
      </w:r>
      <w:r>
        <w:rPr>
          <w:rFonts w:hint="default" w:ascii="Times New Roman" w:hAnsi="Times New Roman" w:cs="Times New Roman"/>
        </w:rPr>
        <w:t>，优化办学育人环境</w:t>
      </w:r>
      <w:r>
        <w:rPr>
          <w:rFonts w:hint="eastAsia" w:cs="Times New Roman"/>
          <w:lang w:eastAsia="zh-CN"/>
        </w:rPr>
        <w:t>，</w:t>
      </w:r>
      <w:r>
        <w:rPr>
          <w:rFonts w:hint="default" w:ascii="Times New Roman" w:hAnsi="Times New Roman" w:cs="Times New Roman"/>
        </w:rPr>
        <w:t>成功实现2025年秋季学期如期开学的既定目标。具体完成情况如下：</w:t>
      </w:r>
    </w:p>
    <w:p w14:paraId="44BD9B70">
      <w:pPr>
        <w:numPr>
          <w:ilvl w:val="0"/>
          <w:numId w:val="0"/>
        </w:numPr>
        <w:ind w:firstLine="640" w:firstLineChars="200"/>
        <w:rPr>
          <w:rFonts w:hint="eastAsia" w:cs="Times New Roman"/>
          <w:lang w:val="en-US" w:eastAsia="zh-CN"/>
        </w:rPr>
      </w:pPr>
      <w:r>
        <w:rPr>
          <w:rFonts w:hint="eastAsia" w:cs="Times New Roman"/>
          <w:lang w:val="en-US" w:eastAsia="zh-CN"/>
        </w:rPr>
        <w:t>1.全面提升北校区学生学习与住宿环境。按时完成925间学生宿舍的改造升级，优化学生住宿条件。购置实验室桌椅550套、普通教室桌椅3520套，满足日常教学实验及课堂授课硬件需求。同时，完成53748.1平方米楼寓粉刷工作，为学生营造整洁舒适的学习生活空间。</w:t>
      </w:r>
    </w:p>
    <w:p w14:paraId="410ED9DE">
      <w:pPr>
        <w:keepNext w:val="0"/>
        <w:keepLines w:val="0"/>
        <w:pageBreakBefore w:val="0"/>
        <w:widowControl/>
        <w:suppressLineNumbers w:val="0"/>
        <w:kinsoku/>
        <w:wordWrap/>
        <w:overflowPunct/>
        <w:topLinePunct w:val="0"/>
        <w:autoSpaceDE/>
        <w:autoSpaceDN/>
        <w:bidi w:val="0"/>
        <w:adjustRightInd/>
        <w:snapToGrid/>
        <w:jc w:val="both"/>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2.严格按照搬迁工作整体规划和时间节点推进各项建设改造、物资购置任务，统筹协调施工、采购、验收等各环节工作，严把质量关和进度关，坚决杜绝质量隐患。从施工选材、现场作业到竣工核验，全程紧盯质量细节，严格遵照行业标准和学校建设要求开展各项工作，保证工程质量合规达标，确保各项维修改造、设施购置任务按计划推进。本次所有既定项目均按期完工、按时交付使用，项目整体完成率达到100%，保障校园教学、生活秩序有序开展。</w:t>
      </w:r>
    </w:p>
    <w:p w14:paraId="303BAD29">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严格把控项目投资成本，规范经费使用管理，严守资金使用标准，细化各项开支预算，严控施工、采购、运维等各类费用支出，始终坚持专款专用、精打细算，坚决杜绝资金浪费、违规使用等情况。北校区维修改造、设施购置等项目投资总成本控制在1500万元，实现资金规范高效使用。</w:t>
      </w:r>
    </w:p>
    <w:p w14:paraId="67A762B4">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Times New Roman" w:hAnsi="Times New Roman" w:eastAsia="仿宋_GB2312" w:cs="Times New Roman"/>
          <w:lang w:val="en-US" w:eastAsia="zh-CN"/>
        </w:rPr>
      </w:pPr>
      <w:r>
        <w:rPr>
          <w:rFonts w:hint="eastAsia" w:cs="Times New Roman"/>
          <w:lang w:val="en-US" w:eastAsia="zh-CN"/>
        </w:rPr>
        <w:t>4.坚持物尽其用、服务办学的原则，全力提升各类校舍、教学设施投入使用率。改造完工的925间学生宿舍、配备齐全桌椅的实验室及教室、修缮完成的楼寓设施等，均已全面投入使用，无闲置、浪费情况，各类修缮改造硬件设施投入使用率达到100%，最大化发挥了办学设施服务教学、保障生活的核心效用，让校园硬件资源高效服务于学校办学工作。</w:t>
      </w:r>
    </w:p>
    <w:p w14:paraId="04DA8C3F">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cs="Times New Roman"/>
          <w:lang w:val="en-US" w:eastAsia="zh-CN"/>
        </w:rPr>
      </w:pPr>
      <w:r>
        <w:rPr>
          <w:rFonts w:hint="eastAsia" w:cs="Times New Roman"/>
          <w:lang w:val="en-US" w:eastAsia="zh-CN"/>
        </w:rPr>
        <w:t>5.本次北校区校园硬件升级改造工作始终立足服务全校师生的办学宗旨，聚焦改善学生学习、生活环境，切实实现2025年秋季学期如期开学的既定目标。经统计，本次改造项目受益学生人数达4336人，全面优化学生住宿、学习、生活环境，有效提升全校师生的校园生活幸福感、归属感，为学校平稳有序办学、高质量发展奠定了坚实的硬件基础。</w:t>
      </w:r>
    </w:p>
    <w:tbl>
      <w:tblPr>
        <w:tblStyle w:val="8"/>
        <w:tblpPr w:leftFromText="180" w:rightFromText="180" w:vertAnchor="text" w:horzAnchor="page" w:tblpX="1957" w:tblpY="1560"/>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2256"/>
        <w:gridCol w:w="2125"/>
        <w:gridCol w:w="1793"/>
      </w:tblGrid>
      <w:tr w14:paraId="4B2D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0D90B210">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项目单位</w:t>
            </w:r>
          </w:p>
        </w:tc>
        <w:tc>
          <w:tcPr>
            <w:tcW w:w="1324" w:type="pct"/>
            <w:noWrap w:val="0"/>
            <w:vAlign w:val="top"/>
          </w:tcPr>
          <w:p w14:paraId="64B31107">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新疆财经大学</w:t>
            </w:r>
          </w:p>
        </w:tc>
        <w:tc>
          <w:tcPr>
            <w:tcW w:w="1247" w:type="pct"/>
            <w:noWrap w:val="0"/>
            <w:vAlign w:val="top"/>
          </w:tcPr>
          <w:p w14:paraId="4748F3FD">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项目负责人</w:t>
            </w:r>
          </w:p>
        </w:tc>
        <w:tc>
          <w:tcPr>
            <w:tcW w:w="1052" w:type="pct"/>
            <w:noWrap w:val="0"/>
            <w:vAlign w:val="top"/>
          </w:tcPr>
          <w:p w14:paraId="414AF539">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t>居来提·吐尔地</w:t>
            </w:r>
          </w:p>
        </w:tc>
      </w:tr>
      <w:tr w14:paraId="2844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46425389">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联系人</w:t>
            </w:r>
          </w:p>
        </w:tc>
        <w:tc>
          <w:tcPr>
            <w:tcW w:w="1324" w:type="pct"/>
            <w:noWrap w:val="0"/>
            <w:vAlign w:val="top"/>
          </w:tcPr>
          <w:p w14:paraId="2A6B8DE1">
            <w:pPr>
              <w:ind w:firstLine="0" w:firstLineChars="0"/>
              <w:jc w:val="center"/>
              <w:rPr>
                <w:rFonts w:hint="eastAsia" w:ascii="Times New Roman" w:hAnsi="Times New Roman" w:eastAsia="宋体" w:cs="Times New Roman"/>
                <w:sz w:val="21"/>
                <w:szCs w:val="21"/>
                <w:lang w:eastAsia="zh-CN"/>
              </w:rPr>
            </w:pPr>
            <w:r>
              <w:rPr>
                <w:rFonts w:hint="eastAsia" w:eastAsia="宋体" w:cs="Times New Roman"/>
                <w:sz w:val="21"/>
                <w:szCs w:val="21"/>
                <w:lang w:val="en-US" w:eastAsia="zh-CN"/>
              </w:rPr>
              <w:t>盛苑青</w:t>
            </w:r>
          </w:p>
        </w:tc>
        <w:tc>
          <w:tcPr>
            <w:tcW w:w="1247" w:type="pct"/>
            <w:noWrap w:val="0"/>
            <w:vAlign w:val="top"/>
          </w:tcPr>
          <w:p w14:paraId="0385C9DC">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1052" w:type="pct"/>
            <w:noWrap w:val="0"/>
            <w:vAlign w:val="top"/>
          </w:tcPr>
          <w:p w14:paraId="75B50C4B">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0991-7842044</w:t>
            </w:r>
          </w:p>
        </w:tc>
      </w:tr>
      <w:tr w14:paraId="70DB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7386B9D6">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项目计划开始时间</w:t>
            </w:r>
          </w:p>
        </w:tc>
        <w:tc>
          <w:tcPr>
            <w:tcW w:w="1324" w:type="pct"/>
            <w:noWrap w:val="0"/>
            <w:vAlign w:val="top"/>
          </w:tcPr>
          <w:p w14:paraId="6A8314C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w:t>
            </w:r>
            <w:r>
              <w:rPr>
                <w:rFonts w:hint="eastAsia" w:eastAsia="宋体" w:cs="Times New Roman"/>
                <w:sz w:val="21"/>
                <w:szCs w:val="21"/>
                <w:lang w:val="en-US" w:eastAsia="zh-CN"/>
              </w:rPr>
              <w:t>9</w:t>
            </w:r>
            <w:r>
              <w:rPr>
                <w:rFonts w:hint="default" w:ascii="Times New Roman" w:hAnsi="Times New Roman" w:eastAsia="宋体" w:cs="Times New Roman"/>
                <w:sz w:val="21"/>
                <w:szCs w:val="21"/>
              </w:rPr>
              <w:t>-01</w:t>
            </w:r>
          </w:p>
        </w:tc>
        <w:tc>
          <w:tcPr>
            <w:tcW w:w="1247" w:type="pct"/>
            <w:noWrap w:val="0"/>
            <w:vAlign w:val="top"/>
          </w:tcPr>
          <w:p w14:paraId="0C2621F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项目计划结束时间</w:t>
            </w:r>
          </w:p>
        </w:tc>
        <w:tc>
          <w:tcPr>
            <w:tcW w:w="1052" w:type="pct"/>
            <w:noWrap w:val="0"/>
            <w:vAlign w:val="top"/>
          </w:tcPr>
          <w:p w14:paraId="3CE0760F">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-12-31</w:t>
            </w:r>
          </w:p>
        </w:tc>
      </w:tr>
      <w:tr w14:paraId="1DCF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6A421873">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项目实际开始时间</w:t>
            </w:r>
          </w:p>
        </w:tc>
        <w:tc>
          <w:tcPr>
            <w:tcW w:w="1324" w:type="pct"/>
            <w:noWrap w:val="0"/>
            <w:vAlign w:val="top"/>
          </w:tcPr>
          <w:p w14:paraId="144D19DD">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w:t>
            </w:r>
            <w:r>
              <w:rPr>
                <w:rFonts w:hint="eastAsia" w:eastAsia="宋体" w:cs="Times New Roman"/>
                <w:sz w:val="21"/>
                <w:szCs w:val="21"/>
                <w:lang w:val="en-US" w:eastAsia="zh-CN"/>
              </w:rPr>
              <w:t>9</w:t>
            </w:r>
            <w:r>
              <w:rPr>
                <w:rFonts w:hint="default" w:ascii="Times New Roman" w:hAnsi="Times New Roman" w:eastAsia="宋体" w:cs="Times New Roman"/>
                <w:sz w:val="21"/>
                <w:szCs w:val="21"/>
              </w:rPr>
              <w:t>-01</w:t>
            </w:r>
          </w:p>
        </w:tc>
        <w:tc>
          <w:tcPr>
            <w:tcW w:w="1247" w:type="pct"/>
            <w:noWrap w:val="0"/>
            <w:vAlign w:val="top"/>
          </w:tcPr>
          <w:p w14:paraId="33611FBB">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项目实际结束时间</w:t>
            </w:r>
          </w:p>
        </w:tc>
        <w:tc>
          <w:tcPr>
            <w:tcW w:w="1052" w:type="pct"/>
            <w:noWrap w:val="0"/>
            <w:vAlign w:val="top"/>
          </w:tcPr>
          <w:p w14:paraId="32FB0153">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-12-31</w:t>
            </w:r>
          </w:p>
        </w:tc>
      </w:tr>
      <w:tr w14:paraId="5042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376" w:type="pct"/>
            <w:noWrap w:val="0"/>
            <w:vAlign w:val="top"/>
          </w:tcPr>
          <w:p w14:paraId="6989D594">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评价开始日期</w:t>
            </w:r>
          </w:p>
        </w:tc>
        <w:tc>
          <w:tcPr>
            <w:tcW w:w="1324" w:type="pct"/>
            <w:noWrap w:val="0"/>
            <w:vAlign w:val="top"/>
          </w:tcPr>
          <w:p w14:paraId="3BC9E86A">
            <w:pPr>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202</w:t>
            </w: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-03-</w:t>
            </w:r>
            <w:r>
              <w:rPr>
                <w:rFonts w:hint="eastAsia" w:eastAsia="宋体" w:cs="Times New Roman"/>
                <w:color w:val="auto"/>
                <w:sz w:val="21"/>
                <w:szCs w:val="21"/>
                <w:lang w:val="en-US" w:eastAsia="zh-CN"/>
              </w:rPr>
              <w:t>12</w:t>
            </w:r>
          </w:p>
        </w:tc>
        <w:tc>
          <w:tcPr>
            <w:tcW w:w="1247" w:type="pct"/>
            <w:noWrap w:val="0"/>
            <w:vAlign w:val="top"/>
          </w:tcPr>
          <w:p w14:paraId="72025B65">
            <w:pPr>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评价结束日期</w:t>
            </w:r>
          </w:p>
        </w:tc>
        <w:tc>
          <w:tcPr>
            <w:tcW w:w="1052" w:type="pct"/>
            <w:noWrap w:val="0"/>
            <w:vAlign w:val="top"/>
          </w:tcPr>
          <w:p w14:paraId="588E9FCD">
            <w:pPr>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202</w:t>
            </w:r>
            <w:r>
              <w:rPr>
                <w:rFonts w:hint="default" w:ascii="Times New Roman" w:hAnsi="Times New Roman" w:eastAsia="宋体" w:cs="Times New Roman"/>
                <w:color w:val="auto"/>
                <w:sz w:val="21"/>
                <w:szCs w:val="21"/>
                <w:lang w:val="en-US" w:eastAsia="zh-CN"/>
              </w:rPr>
              <w:t>6</w:t>
            </w:r>
            <w:r>
              <w:rPr>
                <w:rFonts w:hint="default" w:ascii="Times New Roman" w:hAnsi="Times New Roman" w:eastAsia="宋体" w:cs="Times New Roman"/>
                <w:color w:val="auto"/>
                <w:sz w:val="21"/>
                <w:szCs w:val="21"/>
              </w:rPr>
              <w:t>-03-</w:t>
            </w:r>
            <w:r>
              <w:rPr>
                <w:rFonts w:hint="eastAsia" w:eastAsia="宋体" w:cs="Times New Roman"/>
                <w:color w:val="auto"/>
                <w:sz w:val="21"/>
                <w:szCs w:val="21"/>
                <w:lang w:val="en-US" w:eastAsia="zh-CN"/>
              </w:rPr>
              <w:t>24</w:t>
            </w:r>
          </w:p>
        </w:tc>
      </w:tr>
      <w:tr w14:paraId="7616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76" w:type="pct"/>
            <w:noWrap w:val="0"/>
            <w:vAlign w:val="top"/>
          </w:tcPr>
          <w:p w14:paraId="399D57A5">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绩效目标评价得分</w:t>
            </w:r>
          </w:p>
        </w:tc>
        <w:tc>
          <w:tcPr>
            <w:tcW w:w="1324" w:type="pct"/>
            <w:noWrap w:val="0"/>
            <w:vAlign w:val="top"/>
          </w:tcPr>
          <w:p w14:paraId="6C409EE0">
            <w:pPr>
              <w:ind w:firstLine="0" w:firstLineChars="0"/>
              <w:jc w:val="center"/>
              <w:rPr>
                <w:rFonts w:hint="default" w:ascii="Times New Roman" w:hAnsi="Times New Roman" w:eastAsia="宋体" w:cs="Times New Roman"/>
                <w:color w:val="auto"/>
                <w:sz w:val="21"/>
                <w:szCs w:val="21"/>
                <w:lang w:val="en-US" w:eastAsia="zh-CN"/>
              </w:rPr>
            </w:pPr>
            <w:r>
              <w:rPr>
                <w:rFonts w:hint="eastAsia" w:eastAsia="宋体" w:cs="Times New Roman"/>
                <w:color w:val="auto"/>
                <w:sz w:val="21"/>
                <w:szCs w:val="21"/>
                <w:lang w:val="en-US" w:eastAsia="zh-CN"/>
              </w:rPr>
              <w:t>100</w:t>
            </w:r>
          </w:p>
        </w:tc>
        <w:tc>
          <w:tcPr>
            <w:tcW w:w="1247" w:type="pct"/>
            <w:noWrap w:val="0"/>
            <w:vAlign w:val="top"/>
          </w:tcPr>
          <w:p w14:paraId="4C8DAEA5">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绩效目标评价等级</w:t>
            </w:r>
          </w:p>
        </w:tc>
        <w:tc>
          <w:tcPr>
            <w:tcW w:w="1052" w:type="pct"/>
            <w:noWrap w:val="0"/>
            <w:vAlign w:val="top"/>
          </w:tcPr>
          <w:p w14:paraId="6BF42B38">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优秀</w:t>
            </w:r>
          </w:p>
        </w:tc>
      </w:tr>
      <w:tr w14:paraId="1F14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76" w:type="pct"/>
            <w:noWrap w:val="0"/>
            <w:vAlign w:val="top"/>
          </w:tcPr>
          <w:p w14:paraId="1F7AF504">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预算执行率得分：</w:t>
            </w:r>
          </w:p>
        </w:tc>
        <w:tc>
          <w:tcPr>
            <w:tcW w:w="1324" w:type="pct"/>
            <w:noWrap w:val="0"/>
            <w:vAlign w:val="top"/>
          </w:tcPr>
          <w:p w14:paraId="531CC174">
            <w:pPr>
              <w:ind w:firstLine="0" w:firstLineChars="0"/>
              <w:jc w:val="center"/>
              <w:rPr>
                <w:rFonts w:hint="default" w:ascii="Times New Roman" w:hAnsi="Times New Roman" w:eastAsia="宋体" w:cs="Times New Roman"/>
                <w:color w:val="auto"/>
                <w:sz w:val="21"/>
                <w:szCs w:val="21"/>
                <w:lang w:val="en-US" w:eastAsia="zh-CN"/>
              </w:rPr>
            </w:pPr>
            <w:r>
              <w:rPr>
                <w:rFonts w:hint="eastAsia" w:eastAsia="宋体" w:cs="Times New Roman"/>
                <w:color w:val="auto"/>
                <w:sz w:val="21"/>
                <w:szCs w:val="21"/>
                <w:lang w:val="en-US" w:eastAsia="zh-CN"/>
              </w:rPr>
              <w:t>10</w:t>
            </w:r>
          </w:p>
        </w:tc>
        <w:tc>
          <w:tcPr>
            <w:tcW w:w="1247" w:type="pct"/>
            <w:noWrap w:val="0"/>
            <w:vAlign w:val="top"/>
          </w:tcPr>
          <w:p w14:paraId="0876D149">
            <w:pPr>
              <w:ind w:firstLine="0" w:firstLineChars="0"/>
              <w:jc w:val="center"/>
              <w:rPr>
                <w:rFonts w:hint="default" w:ascii="Times New Roman" w:hAnsi="Times New Roman" w:eastAsia="宋体" w:cs="Times New Roman"/>
                <w:sz w:val="21"/>
                <w:szCs w:val="21"/>
              </w:rPr>
            </w:pPr>
          </w:p>
        </w:tc>
        <w:tc>
          <w:tcPr>
            <w:tcW w:w="1052" w:type="pct"/>
            <w:noWrap w:val="0"/>
            <w:vAlign w:val="top"/>
          </w:tcPr>
          <w:p w14:paraId="0898EAC4">
            <w:pPr>
              <w:ind w:firstLine="0" w:firstLineChars="0"/>
              <w:jc w:val="center"/>
              <w:rPr>
                <w:rFonts w:hint="default" w:ascii="Times New Roman" w:hAnsi="Times New Roman" w:eastAsia="宋体" w:cs="Times New Roman"/>
                <w:sz w:val="21"/>
                <w:szCs w:val="21"/>
              </w:rPr>
            </w:pPr>
          </w:p>
        </w:tc>
      </w:tr>
    </w:tbl>
    <w:p w14:paraId="4F9CBC53">
      <w:pPr>
        <w:pStyle w:val="2"/>
        <w:numPr>
          <w:ilvl w:val="0"/>
          <w:numId w:val="1"/>
        </w:numPr>
        <w:ind w:firstLine="640"/>
        <w:rPr>
          <w:rFonts w:hint="default" w:ascii="Times New Roman" w:hAnsi="Times New Roman" w:cs="Times New Roman"/>
        </w:rPr>
      </w:pPr>
      <w:r>
        <w:rPr>
          <w:rFonts w:hint="default" w:ascii="Times New Roman" w:hAnsi="Times New Roman" w:cs="Times New Roman"/>
        </w:rPr>
        <w:t>绩效检查指标（详见项目支出绩效自评表）</w:t>
      </w:r>
    </w:p>
    <w:p w14:paraId="1E00A5C7">
      <w:pPr>
        <w:pStyle w:val="2"/>
        <w:spacing w:line="240" w:lineRule="auto"/>
        <w:ind w:firstLine="640" w:firstLineChars="200"/>
        <w:rPr>
          <w:rFonts w:hint="eastAsia" w:ascii="楷体_GB2312" w:hAnsi="楷体_GB2312" w:eastAsia="楷体_GB2312" w:cs="楷体_GB2312"/>
          <w:b w:val="0"/>
          <w:bCs w:val="0"/>
        </w:rPr>
      </w:pP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lang w:val="en-US" w:eastAsia="zh-CN"/>
        </w:rPr>
        <w:t>一</w:t>
      </w:r>
      <w:r>
        <w:rPr>
          <w:rFonts w:hint="eastAsia" w:ascii="楷体_GB2312" w:hAnsi="楷体_GB2312" w:eastAsia="楷体_GB2312" w:cs="楷体_GB2312"/>
          <w:b w:val="0"/>
          <w:bCs w:val="0"/>
          <w:lang w:eastAsia="zh-CN"/>
        </w:rPr>
        <w:t>）</w:t>
      </w:r>
      <w:r>
        <w:rPr>
          <w:rFonts w:hint="eastAsia" w:ascii="楷体_GB2312" w:hAnsi="楷体_GB2312" w:eastAsia="楷体_GB2312" w:cs="楷体_GB2312"/>
          <w:b w:val="0"/>
          <w:bCs w:val="0"/>
        </w:rPr>
        <w:t>基本信息</w:t>
      </w:r>
    </w:p>
    <w:p w14:paraId="255FD19A">
      <w:pPr>
        <w:ind w:firstLine="643"/>
        <w:rPr>
          <w:rFonts w:hint="eastAsia" w:ascii="楷体_GB2312" w:hAnsi="楷体_GB2312" w:eastAsia="楷体_GB2312" w:cs="楷体_GB2312"/>
          <w:b w:val="0"/>
          <w:bCs w:val="0"/>
        </w:rPr>
      </w:pPr>
      <w:r>
        <w:rPr>
          <w:rFonts w:hint="eastAsia" w:ascii="楷体_GB2312" w:hAnsi="楷体_GB2312" w:eastAsia="楷体_GB2312" w:cs="楷体_GB2312"/>
          <w:b w:val="0"/>
          <w:bCs w:val="0"/>
          <w:color w:val="auto"/>
          <w:lang w:eastAsia="zh-CN"/>
        </w:rPr>
        <w:t>（</w:t>
      </w:r>
      <w:r>
        <w:rPr>
          <w:rFonts w:hint="eastAsia" w:ascii="楷体_GB2312" w:hAnsi="楷体_GB2312" w:eastAsia="楷体_GB2312" w:cs="楷体_GB2312"/>
          <w:b w:val="0"/>
          <w:bCs w:val="0"/>
          <w:color w:val="auto"/>
          <w:lang w:val="en-US" w:eastAsia="zh-CN"/>
        </w:rPr>
        <w:t>二</w:t>
      </w:r>
      <w:r>
        <w:rPr>
          <w:rFonts w:hint="eastAsia" w:ascii="楷体_GB2312" w:hAnsi="楷体_GB2312" w:eastAsia="楷体_GB2312" w:cs="楷体_GB2312"/>
          <w:b w:val="0"/>
          <w:bCs w:val="0"/>
          <w:color w:val="auto"/>
          <w:lang w:eastAsia="zh-CN"/>
        </w:rPr>
        <w:t>）</w:t>
      </w:r>
      <w:r>
        <w:rPr>
          <w:rFonts w:hint="eastAsia" w:ascii="楷体_GB2312" w:hAnsi="楷体_GB2312" w:eastAsia="楷体_GB2312" w:cs="楷体_GB2312"/>
          <w:b w:val="0"/>
          <w:bCs w:val="0"/>
          <w:color w:val="auto"/>
        </w:rPr>
        <w:t>项目主要经验总结</w:t>
      </w:r>
    </w:p>
    <w:p w14:paraId="0F2D3749">
      <w:pPr>
        <w:ind w:firstLine="643"/>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1.强化统筹谋划，确保项目高效推进。学校成立北校区管委会，全力推进北校区搬迁专项经费项目实施工作，统筹协调宿舍改造、教学物资采购、进度管控等各环节工作，建立周调度、月通报工作机制，及时研究解决项目推进中的难点堵点问题，形成上下联动、齐抓共管的工作格局，为项目顺利实施提供坚强组织保障。</w:t>
      </w:r>
    </w:p>
    <w:p w14:paraId="3E19E05C">
      <w:pPr>
        <w:ind w:firstLine="643"/>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2.严格质量管控，打造优质精品工程。建立健全项目质量全过程监管体系，从施工材料进场检验、分部分项工程验收到竣工验收，实行全流程质量追溯管理。严格恪守工程建设强制性标准，严守质量规范底线，不放宽标准、不简化流程，确保各项施工环节依规推进、合规落地，确保工程质量经得起检验。</w:t>
      </w:r>
    </w:p>
    <w:p w14:paraId="0BE4A2D0">
      <w:pPr>
        <w:ind w:firstLine="643"/>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3.规范资金管理，提升财政资金使用效益。严格执行专项资金管理办法，</w:t>
      </w:r>
      <w:r>
        <w:rPr>
          <w:rFonts w:hint="eastAsia" w:cs="Times New Roman"/>
          <w:b w:val="0"/>
          <w:bCs w:val="0"/>
          <w:color w:val="auto"/>
          <w:lang w:val="en-US" w:eastAsia="zh-CN"/>
        </w:rPr>
        <w:t>实行专款专用，建立预算执行动态监控机制，实施</w:t>
      </w:r>
      <w:r>
        <w:rPr>
          <w:rFonts w:hint="default" w:ascii="Times New Roman" w:hAnsi="Times New Roman" w:eastAsia="仿宋_GB2312" w:cs="Times New Roman"/>
          <w:b w:val="0"/>
          <w:bCs w:val="0"/>
          <w:color w:val="auto"/>
          <w:lang w:val="en-US" w:eastAsia="zh-CN"/>
        </w:rPr>
        <w:t>资金支付审批联签制度，大额资金支出集体研究决定</w:t>
      </w:r>
      <w:r>
        <w:rPr>
          <w:rFonts w:hint="eastAsia" w:cs="Times New Roman"/>
          <w:b w:val="0"/>
          <w:bCs w:val="0"/>
          <w:color w:val="auto"/>
          <w:lang w:val="en-US" w:eastAsia="zh-CN"/>
        </w:rPr>
        <w:t>，</w:t>
      </w:r>
      <w:r>
        <w:rPr>
          <w:rFonts w:hint="default" w:ascii="Times New Roman" w:hAnsi="Times New Roman" w:eastAsia="仿宋_GB2312" w:cs="Times New Roman"/>
          <w:b w:val="0"/>
          <w:bCs w:val="0"/>
          <w:color w:val="auto"/>
          <w:lang w:eastAsia="zh-CN"/>
        </w:rPr>
        <w:t>招投标程序公开透明</w:t>
      </w:r>
      <w:r>
        <w:rPr>
          <w:rFonts w:hint="eastAsia" w:cs="Times New Roman"/>
          <w:b w:val="0"/>
          <w:bCs w:val="0"/>
          <w:color w:val="auto"/>
          <w:lang w:eastAsia="zh-CN"/>
        </w:rPr>
        <w:t>，</w:t>
      </w:r>
      <w:r>
        <w:rPr>
          <w:rFonts w:hint="default" w:ascii="Times New Roman" w:hAnsi="Times New Roman" w:eastAsia="仿宋_GB2312" w:cs="Times New Roman"/>
          <w:b w:val="0"/>
          <w:bCs w:val="0"/>
          <w:color w:val="auto"/>
          <w:lang w:eastAsia="zh-CN"/>
        </w:rPr>
        <w:t>合同管理规范严谨</w:t>
      </w:r>
      <w:r>
        <w:rPr>
          <w:rFonts w:hint="default" w:ascii="Times New Roman" w:hAnsi="Times New Roman" w:eastAsia="仿宋_GB2312" w:cs="Times New Roman"/>
          <w:b w:val="0"/>
          <w:bCs w:val="0"/>
          <w:color w:val="auto"/>
          <w:lang w:val="en-US" w:eastAsia="zh-CN"/>
        </w:rPr>
        <w:t>，确保资金安全规范高效使用。</w:t>
      </w:r>
    </w:p>
    <w:p w14:paraId="44ECF850">
      <w:pPr>
        <w:ind w:firstLine="643"/>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4.聚焦师生需求，切实改善办学条件。坚持以学生为中心，优化宿舍功能布局，完善</w:t>
      </w:r>
      <w:r>
        <w:rPr>
          <w:rFonts w:hint="eastAsia" w:cs="Times New Roman"/>
          <w:b w:val="0"/>
          <w:bCs w:val="0"/>
          <w:color w:val="auto"/>
          <w:lang w:val="en-US" w:eastAsia="zh-CN"/>
        </w:rPr>
        <w:t>家具</w:t>
      </w:r>
      <w:r>
        <w:rPr>
          <w:rFonts w:hint="default" w:ascii="Times New Roman" w:hAnsi="Times New Roman" w:eastAsia="仿宋_GB2312" w:cs="Times New Roman"/>
          <w:b w:val="0"/>
          <w:bCs w:val="0"/>
          <w:color w:val="auto"/>
          <w:lang w:val="en-US" w:eastAsia="zh-CN"/>
        </w:rPr>
        <w:t>配置标准。同步推进教学设施升级，校区内教学、住宿、生活等配套设施均正常投入使用，各项教学活动、校园管理工作有序开展，学生学习生活状态良好，北校区搬迁工作整体落地见效，为4000余名受益学生创造更加舒适便捷的学习生活环境，师生满意度测评达95%以上，项目社会效益显著。</w:t>
      </w:r>
    </w:p>
    <w:p w14:paraId="41BD659F">
      <w:pPr>
        <w:ind w:firstLine="643"/>
        <w:rPr>
          <w:rFonts w:hint="eastAsia" w:ascii="楷体_GB2312" w:hAnsi="楷体_GB2312" w:eastAsia="楷体_GB2312" w:cs="楷体_GB2312"/>
          <w:b w:val="0"/>
          <w:bCs w:val="0"/>
          <w:color w:val="auto"/>
        </w:rPr>
      </w:pPr>
      <w:r>
        <w:rPr>
          <w:rFonts w:hint="eastAsia" w:ascii="楷体_GB2312" w:hAnsi="楷体_GB2312" w:eastAsia="楷体_GB2312" w:cs="楷体_GB2312"/>
          <w:b w:val="0"/>
          <w:bCs w:val="0"/>
          <w:color w:val="auto"/>
          <w:lang w:eastAsia="zh-CN"/>
        </w:rPr>
        <w:t>（</w:t>
      </w:r>
      <w:r>
        <w:rPr>
          <w:rFonts w:hint="eastAsia" w:ascii="楷体_GB2312" w:hAnsi="楷体_GB2312" w:eastAsia="楷体_GB2312" w:cs="楷体_GB2312"/>
          <w:b w:val="0"/>
          <w:bCs w:val="0"/>
          <w:color w:val="auto"/>
          <w:lang w:val="en-US" w:eastAsia="zh-CN"/>
        </w:rPr>
        <w:t>三</w:t>
      </w:r>
      <w:r>
        <w:rPr>
          <w:rFonts w:hint="eastAsia" w:ascii="楷体_GB2312" w:hAnsi="楷体_GB2312" w:eastAsia="楷体_GB2312" w:cs="楷体_GB2312"/>
          <w:b w:val="0"/>
          <w:bCs w:val="0"/>
          <w:color w:val="auto"/>
          <w:lang w:eastAsia="zh-CN"/>
        </w:rPr>
        <w:t>）</w:t>
      </w:r>
      <w:r>
        <w:rPr>
          <w:rFonts w:hint="eastAsia" w:ascii="楷体_GB2312" w:hAnsi="楷体_GB2312" w:eastAsia="楷体_GB2312" w:cs="楷体_GB2312"/>
          <w:b w:val="0"/>
          <w:bCs w:val="0"/>
          <w:color w:val="auto"/>
        </w:rPr>
        <w:t>项目存在的主要问题</w:t>
      </w:r>
    </w:p>
    <w:p w14:paraId="15476A5A">
      <w:pPr>
        <w:ind w:left="0" w:leftChars="0" w:firstLine="640" w:firstLineChars="200"/>
        <w:rPr>
          <w:rFonts w:hint="eastAsia" w:cs="Times New Roman"/>
          <w:lang w:eastAsia="zh-CN"/>
        </w:rPr>
      </w:pPr>
      <w:r>
        <w:rPr>
          <w:rFonts w:hint="eastAsia" w:cs="Times New Roman"/>
          <w:lang w:eastAsia="zh-CN"/>
        </w:rPr>
        <w:t>一是项目前期筹备时间相对紧张，部分环节衔接有待优化。由于项目启动时间紧、任务重，从方案设计、招标采购到进场施工的有效工期被压缩，导致个别工序交叉作业协调难度加大，虽最终按期完成，但过程中存在一定程度的赶工现象，对精细化施工和现场管理提出了更高挑战。</w:t>
      </w:r>
    </w:p>
    <w:p w14:paraId="3DAE1CF8">
      <w:pPr>
        <w:rPr>
          <w:rFonts w:hint="eastAsia" w:cs="Times New Roman"/>
          <w:lang w:eastAsia="zh-CN"/>
        </w:rPr>
      </w:pPr>
      <w:r>
        <w:rPr>
          <w:rFonts w:hint="eastAsia" w:cs="Times New Roman"/>
          <w:lang w:eastAsia="zh-CN"/>
        </w:rPr>
        <w:t>二是长效管护机制尚需健全完善。项目集中建设期结束后，部分新改造设施的日常维护责任划分、运维资金保障等配套制度尚未及时跟进，存在</w:t>
      </w:r>
      <w:r>
        <w:rPr>
          <w:rFonts w:hint="eastAsia" w:cs="Times New Roman"/>
          <w:lang w:val="en-US" w:eastAsia="zh-CN"/>
        </w:rPr>
        <w:t>“</w:t>
      </w:r>
      <w:r>
        <w:rPr>
          <w:rFonts w:hint="eastAsia" w:cs="Times New Roman"/>
          <w:lang w:eastAsia="zh-CN"/>
        </w:rPr>
        <w:t>重建设、轻管护”的倾向，可能影响设施持续发挥效益。</w:t>
      </w:r>
    </w:p>
    <w:p w14:paraId="652BF373">
      <w:pPr>
        <w:rPr>
          <w:rFonts w:hint="default" w:cs="Times New Roman"/>
          <w:lang w:eastAsia="zh-CN"/>
        </w:rPr>
      </w:pPr>
      <w:r>
        <w:rPr>
          <w:rFonts w:hint="eastAsia" w:cs="Times New Roman"/>
          <w:lang w:val="en-US" w:eastAsia="zh-CN"/>
        </w:rPr>
        <w:t>三</w:t>
      </w:r>
      <w:r>
        <w:rPr>
          <w:rFonts w:hint="eastAsia" w:cs="Times New Roman"/>
          <w:lang w:eastAsia="zh-CN"/>
        </w:rPr>
        <w:t>是部门协同的深度和广度仍有拓展空间。虽然建立了基本的工作协调机制，但在涉及跨部门、跨层级的复杂事项决策时，信息传递效率和联动响应速度还有提升余地，部分环节存在责任界面不够清晰、沟通成本偏高等情况。</w:t>
      </w:r>
    </w:p>
    <w:p w14:paraId="5BED1949">
      <w:pPr>
        <w:ind w:firstLine="640"/>
        <w:rPr>
          <w:rFonts w:hint="default" w:ascii="Times New Roman" w:hAnsi="Times New Roman" w:eastAsia="黑体" w:cs="Times New Roman"/>
        </w:rPr>
      </w:pPr>
      <w:r>
        <w:rPr>
          <w:rFonts w:hint="eastAsia" w:eastAsia="黑体" w:cs="Times New Roman"/>
          <w:lang w:val="en-US" w:eastAsia="zh-CN"/>
        </w:rPr>
        <w:t>三、</w:t>
      </w:r>
      <w:r>
        <w:rPr>
          <w:rFonts w:hint="default" w:ascii="Times New Roman" w:hAnsi="Times New Roman" w:eastAsia="黑体" w:cs="Times New Roman"/>
        </w:rPr>
        <w:t>改进建议</w:t>
      </w:r>
    </w:p>
    <w:p w14:paraId="2D382AAB">
      <w:pPr>
        <w:ind w:firstLine="643"/>
        <w:rPr>
          <w:rFonts w:hint="default" w:ascii="Times New Roman" w:hAnsi="Times New Roman" w:eastAsia="仿宋_GB2312" w:cs="Times New Roman"/>
          <w:b w:val="0"/>
          <w:bCs w:val="0"/>
          <w:color w:val="000000"/>
          <w:spacing w:val="8"/>
          <w:kern w:val="0"/>
          <w:sz w:val="32"/>
          <w:szCs w:val="32"/>
          <w:lang w:val="en-US" w:eastAsia="zh-CN" w:bidi="ar"/>
        </w:rPr>
      </w:pPr>
      <w:r>
        <w:rPr>
          <w:rFonts w:hint="eastAsia" w:ascii="楷体_GB2312" w:hAnsi="楷体_GB2312" w:eastAsia="楷体_GB2312" w:cs="楷体_GB2312"/>
          <w:b w:val="0"/>
          <w:bCs w:val="0"/>
        </w:rPr>
        <w:t>（一）对项目决策的建议</w:t>
      </w:r>
    </w:p>
    <w:p w14:paraId="52B4947E">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cs="Times New Roman"/>
          <w:color w:val="000000"/>
          <w:spacing w:val="8"/>
          <w:kern w:val="0"/>
          <w:sz w:val="32"/>
          <w:szCs w:val="32"/>
          <w:lang w:val="en-US" w:eastAsia="zh-CN" w:bidi="ar"/>
        </w:rPr>
      </w:pPr>
      <w:r>
        <w:rPr>
          <w:rFonts w:hint="eastAsia" w:cs="Times New Roman"/>
          <w:color w:val="000000"/>
          <w:spacing w:val="8"/>
          <w:kern w:val="0"/>
          <w:sz w:val="32"/>
          <w:szCs w:val="32"/>
          <w:lang w:val="en-US" w:eastAsia="zh-CN" w:bidi="ar"/>
        </w:rPr>
        <w:t>1.建立项目储备库制度，将北校区后续发展规划纳入学校中长期建设蓝图，提前开展需求论证和方案比选，预留充足的前期工作时间，避免临时性、应急性决策带来的工期压力。</w:t>
      </w:r>
    </w:p>
    <w:p w14:paraId="3A0DA4EE">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eastAsia="仿宋_GB2312"/>
          <w:lang w:eastAsia="zh-CN"/>
        </w:rPr>
      </w:pPr>
      <w:r>
        <w:rPr>
          <w:rFonts w:hint="eastAsia" w:cs="Times New Roman"/>
          <w:color w:val="000000"/>
          <w:spacing w:val="8"/>
          <w:kern w:val="0"/>
          <w:sz w:val="32"/>
          <w:szCs w:val="32"/>
          <w:lang w:val="en-US" w:eastAsia="zh-CN" w:bidi="ar"/>
        </w:rPr>
        <w:t>2.健全重大项目决策评估体系，在项目立项环节全面听取基建、后勤、教学、学工等多部门建议，统筹分析建设规模、功能定位与资金承载能力，提升决策的科学性与前瞻性。</w:t>
      </w:r>
    </w:p>
    <w:p w14:paraId="15977E82">
      <w:pPr>
        <w:pageBreakBefore w:val="0"/>
        <w:widowControl w:val="0"/>
        <w:kinsoku/>
        <w:wordWrap/>
        <w:overflowPunct/>
        <w:topLinePunct w:val="0"/>
        <w:autoSpaceDE/>
        <w:autoSpaceDN/>
        <w:bidi w:val="0"/>
        <w:adjustRightInd/>
        <w:snapToGrid/>
        <w:ind w:firstLine="643"/>
        <w:textAlignment w:val="auto"/>
        <w:rPr>
          <w:rFonts w:hint="eastAsia" w:ascii="楷体_GB2312" w:hAnsi="楷体_GB2312" w:eastAsia="楷体_GB2312" w:cs="楷体_GB2312"/>
          <w:b w:val="0"/>
          <w:bCs w:val="0"/>
          <w:lang w:val="en-US" w:eastAsia="zh-CN"/>
        </w:rPr>
      </w:pPr>
      <w:r>
        <w:rPr>
          <w:rFonts w:hint="eastAsia" w:ascii="楷体_GB2312" w:hAnsi="楷体_GB2312" w:eastAsia="楷体_GB2312" w:cs="楷体_GB2312"/>
          <w:b w:val="0"/>
          <w:bCs w:val="0"/>
        </w:rPr>
        <w:t>（二）对预算安排与执行的建议</w:t>
      </w:r>
    </w:p>
    <w:p w14:paraId="1F41EEBE">
      <w:pPr>
        <w:keepNext w:val="0"/>
        <w:keepLines w:val="0"/>
        <w:pageBreakBefore w:val="0"/>
        <w:widowControl w:val="0"/>
        <w:kinsoku/>
        <w:wordWrap/>
        <w:overflowPunct/>
        <w:topLinePunct w:val="0"/>
        <w:autoSpaceDE/>
        <w:autoSpaceDN/>
        <w:bidi w:val="0"/>
        <w:adjustRightInd/>
        <w:snapToGrid/>
        <w:ind w:firstLine="640"/>
        <w:textAlignment w:val="auto"/>
        <w:rPr>
          <w:rFonts w:hint="eastAsia" w:cs="Times New Roman"/>
          <w:lang w:val="en-US" w:eastAsia="zh-CN"/>
        </w:rPr>
      </w:pPr>
      <w:r>
        <w:rPr>
          <w:rFonts w:hint="eastAsia" w:cs="Times New Roman"/>
          <w:lang w:val="en-US" w:eastAsia="zh-CN"/>
        </w:rPr>
        <w:t>1.优化预算编制机制，增强资金安排的前瞻性与精准性。将北校区后续运维、设施更新等经常性支出纳入年度预算统筹考虑，避免“一次性投入、长期性欠账”的结构性矛盾。针对类似搬迁改造类项目，应提前开展市场调研和价格测算，合理预留价格波动缓冲空间，提高预算编制的科学性和可执行性。</w:t>
      </w:r>
    </w:p>
    <w:p w14:paraId="01B7A59B">
      <w:pPr>
        <w:pageBreakBefore w:val="0"/>
        <w:widowControl w:val="0"/>
        <w:kinsoku/>
        <w:wordWrap/>
        <w:overflowPunct/>
        <w:topLinePunct w:val="0"/>
        <w:autoSpaceDE/>
        <w:autoSpaceDN/>
        <w:bidi w:val="0"/>
        <w:adjustRightInd/>
        <w:snapToGrid/>
        <w:ind w:firstLine="640"/>
        <w:textAlignment w:val="auto"/>
        <w:rPr>
          <w:rFonts w:hint="eastAsia" w:cs="Times New Roman"/>
          <w:lang w:val="en-US" w:eastAsia="zh-CN"/>
        </w:rPr>
      </w:pPr>
      <w:r>
        <w:rPr>
          <w:rFonts w:hint="eastAsia" w:cs="Times New Roman"/>
          <w:lang w:val="en-US" w:eastAsia="zh-CN"/>
        </w:rPr>
        <w:t>2.强化预算执行过程管控，提升资金使用效率。建立预算执行预警机制，对执行进度偏慢的环节及时分析原因、督促整改，防止年底集中支付或资金闲置。</w:t>
      </w:r>
    </w:p>
    <w:p w14:paraId="07A0C47A">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推进预算绩效管理深度融合，实现“花钱必问效”。将绩效目标设定、运行监控、评价结果应用贯穿预算管理全过程，把本次绩效评价中发现的问题和整改要求作为下年度预算安排的重要依据，形成“评价—反馈—整改—提升”的良性循环，切实提高财政资源配置效率和使用效益。</w:t>
      </w:r>
    </w:p>
    <w:p w14:paraId="6CF9E62F">
      <w:pPr>
        <w:pageBreakBefore w:val="0"/>
        <w:widowControl w:val="0"/>
        <w:kinsoku/>
        <w:wordWrap/>
        <w:overflowPunct/>
        <w:topLinePunct w:val="0"/>
        <w:autoSpaceDE/>
        <w:autoSpaceDN/>
        <w:bidi w:val="0"/>
        <w:adjustRightInd/>
        <w:snapToGrid/>
        <w:ind w:firstLine="643"/>
        <w:textAlignment w:val="auto"/>
        <w:rPr>
          <w:rFonts w:hint="default" w:ascii="Times New Roman" w:hAnsi="Times New Roman" w:cs="Times New Roman"/>
          <w:b w:val="0"/>
          <w:bCs/>
          <w:lang w:val="en-US" w:eastAsia="zh-CN"/>
        </w:rPr>
      </w:pPr>
      <w:r>
        <w:rPr>
          <w:rFonts w:hint="eastAsia" w:ascii="楷体_GB2312" w:hAnsi="楷体_GB2312" w:eastAsia="楷体_GB2312" w:cs="楷体_GB2312"/>
          <w:b w:val="0"/>
          <w:bCs/>
        </w:rPr>
        <w:t>（三）对资金管理的建议</w:t>
      </w:r>
    </w:p>
    <w:p w14:paraId="2D4C940B">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1.强化资金使用的全过程监管。建立资金动态监控预警机制，对预算执行进度、资金使用合规性进行实时跟踪，对执行异常项目及时预警并督促整改。</w:t>
      </w:r>
    </w:p>
    <w:p w14:paraId="2645E4B4">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color w:val="000000"/>
          <w:kern w:val="0"/>
          <w:szCs w:val="32"/>
        </w:rPr>
      </w:pPr>
      <w:r>
        <w:rPr>
          <w:rFonts w:hint="default" w:ascii="Times New Roman" w:hAnsi="Times New Roman" w:cs="Times New Roman"/>
          <w:lang w:val="en-US" w:eastAsia="zh-CN"/>
        </w:rPr>
        <w:t>2.</w:t>
      </w:r>
      <w:r>
        <w:rPr>
          <w:rFonts w:hint="default" w:ascii="Times New Roman" w:hAnsi="Times New Roman" w:cs="Times New Roman"/>
          <w:color w:val="000000"/>
          <w:kern w:val="0"/>
          <w:szCs w:val="32"/>
        </w:rPr>
        <w:t>加</w:t>
      </w:r>
      <w:r>
        <w:rPr>
          <w:rFonts w:hint="eastAsia" w:cs="Times New Roman"/>
          <w:color w:val="000000"/>
          <w:kern w:val="0"/>
          <w:szCs w:val="32"/>
          <w:lang w:eastAsia="zh-CN"/>
        </w:rPr>
        <w:t>强对</w:t>
      </w:r>
      <w:r>
        <w:rPr>
          <w:rFonts w:hint="default" w:ascii="Times New Roman" w:hAnsi="Times New Roman" w:cs="Times New Roman"/>
          <w:color w:val="000000"/>
          <w:kern w:val="0"/>
          <w:szCs w:val="32"/>
        </w:rPr>
        <w:t>项目资金</w:t>
      </w:r>
      <w:r>
        <w:rPr>
          <w:rFonts w:hint="default" w:ascii="Times New Roman" w:hAnsi="Times New Roman" w:cs="Times New Roman"/>
          <w:color w:val="000000"/>
          <w:kern w:val="0"/>
          <w:szCs w:val="32"/>
          <w:lang w:val="en-US" w:eastAsia="zh-CN"/>
        </w:rPr>
        <w:t>的</w:t>
      </w:r>
      <w:r>
        <w:rPr>
          <w:rFonts w:hint="default" w:ascii="Times New Roman" w:hAnsi="Times New Roman" w:cs="Times New Roman"/>
          <w:color w:val="000000"/>
          <w:kern w:val="0"/>
          <w:szCs w:val="32"/>
        </w:rPr>
        <w:t>监控。</w:t>
      </w:r>
      <w:r>
        <w:rPr>
          <w:rFonts w:hint="default" w:ascii="Times New Roman" w:hAnsi="Times New Roman" w:cs="Times New Roman"/>
          <w:lang w:val="en-US" w:eastAsia="zh-CN"/>
        </w:rPr>
        <w:t>严格执行专户管理、专款专用制度，严禁截留、挤占、挪用项目资金。</w:t>
      </w:r>
      <w:r>
        <w:rPr>
          <w:rFonts w:hint="default" w:ascii="Times New Roman" w:hAnsi="Times New Roman" w:cs="Times New Roman"/>
          <w:color w:val="000000"/>
          <w:kern w:val="0"/>
          <w:szCs w:val="32"/>
        </w:rPr>
        <w:t>无预算不支出，超预算不支出，切实规范专项资金管理，保障资金安全、高效运行，发挥资金使用效益。</w:t>
      </w:r>
    </w:p>
    <w:p w14:paraId="56563A3A">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楷体_GB2312" w:cs="Times New Roman"/>
          <w:b w:val="0"/>
          <w:bCs/>
        </w:rPr>
      </w:pPr>
      <w:r>
        <w:rPr>
          <w:rFonts w:hint="default" w:ascii="Times New Roman" w:hAnsi="Times New Roman" w:eastAsia="楷体_GB2312" w:cs="Times New Roman"/>
          <w:b w:val="0"/>
          <w:bCs/>
        </w:rPr>
        <w:t>（四）项目管理的建议</w:t>
      </w:r>
    </w:p>
    <w:p w14:paraId="29E0C6DF">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1.健全项目管理机制，完善项目立项审批、过程监管、验收评估等管理制度，明确各环节责任主体和工作要求。</w:t>
      </w:r>
    </w:p>
    <w:p w14:paraId="0D03E36E">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2.强化全过程管控，严格项目可行性论证，加强实施过程动态监控，规范项目变更审批，建立项目后评价机制。</w:t>
      </w:r>
    </w:p>
    <w:p w14:paraId="20730696">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3.加强部门协同配合，建立跨部门协调机制，明确职责分工，形成项目管理合力。</w:t>
      </w:r>
    </w:p>
    <w:p w14:paraId="43B04B58">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4.推进信息化建设，建立项目管理信息系统，实现项目全过程动态监管，提升管理效能。</w:t>
      </w:r>
    </w:p>
    <w:p w14:paraId="545B5F7F">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5.加强专业队伍建设，开展项目管理业务培训，提高管理人员专业素质，为项目管理提供人才保障。</w:t>
      </w:r>
    </w:p>
    <w:p w14:paraId="25F27E08">
      <w:pPr>
        <w:pageBreakBefore w:val="0"/>
        <w:widowControl w:val="0"/>
        <w:kinsoku/>
        <w:wordWrap/>
        <w:overflowPunct/>
        <w:topLinePunct w:val="0"/>
        <w:autoSpaceDE/>
        <w:autoSpaceDN/>
        <w:bidi w:val="0"/>
        <w:adjustRightInd/>
        <w:snapToGrid/>
        <w:ind w:firstLine="640"/>
        <w:textAlignment w:val="auto"/>
        <w:rPr>
          <w:rFonts w:hint="eastAsia" w:ascii="黑体" w:hAnsi="黑体" w:eastAsia="黑体" w:cs="黑体"/>
          <w:b w:val="0"/>
          <w:bCs/>
          <w:lang w:eastAsia="zh-CN"/>
        </w:rPr>
      </w:pPr>
      <w:r>
        <w:rPr>
          <w:rFonts w:hint="eastAsia" w:ascii="黑体" w:hAnsi="黑体" w:eastAsia="黑体" w:cs="黑体"/>
          <w:b w:val="0"/>
          <w:bCs/>
          <w:lang w:val="en-US" w:eastAsia="zh-CN"/>
        </w:rPr>
        <w:t>四、其他</w:t>
      </w:r>
    </w:p>
    <w:p w14:paraId="3C96007E">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1</w:t>
      </w:r>
      <w:r>
        <w:rPr>
          <w:rFonts w:hint="eastAsia" w:cs="Times New Roman"/>
          <w:b w:val="0"/>
          <w:bCs/>
          <w:lang w:val="en-US" w:eastAsia="zh-CN"/>
        </w:rPr>
        <w:t>.</w:t>
      </w:r>
      <w:r>
        <w:rPr>
          <w:rFonts w:hint="default" w:ascii="Times New Roman" w:hAnsi="Times New Roman" w:cs="Times New Roman"/>
          <w:b w:val="0"/>
          <w:bCs/>
          <w:lang w:eastAsia="zh-CN"/>
        </w:rPr>
        <w:t>建立健全财务人员培训机制：完善财务人员能力提升体系，制定系统化、常态化的培训计划，重点加强预算管理、会计核算、内部控制等专业领域的业务培训。</w:t>
      </w:r>
    </w:p>
    <w:p w14:paraId="13258C58">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2</w:t>
      </w:r>
      <w:r>
        <w:rPr>
          <w:rFonts w:hint="eastAsia" w:cs="Times New Roman"/>
          <w:b w:val="0"/>
          <w:bCs/>
          <w:lang w:val="en-US" w:eastAsia="zh-CN"/>
        </w:rPr>
        <w:t>.</w:t>
      </w:r>
      <w:r>
        <w:rPr>
          <w:rFonts w:hint="default" w:ascii="Times New Roman" w:hAnsi="Times New Roman" w:cs="Times New Roman"/>
          <w:b w:val="0"/>
          <w:bCs/>
          <w:lang w:eastAsia="zh-CN"/>
        </w:rPr>
        <w:t>优化关键业务内部控制流程：聚焦预算管理、资金支付、政府采购等重点领域，科学设计业务流程，明确风险控制点，完善风险防控措施，建立健全事前防范、事中控制、事后监督的全流程管控机制。</w:t>
      </w:r>
    </w:p>
    <w:p w14:paraId="54AF540C">
      <w:pPr>
        <w:pageBreakBefore w:val="0"/>
        <w:widowControl w:val="0"/>
        <w:kinsoku/>
        <w:wordWrap/>
        <w:overflowPunct/>
        <w:topLinePunct w:val="0"/>
        <w:autoSpaceDE/>
        <w:autoSpaceDN/>
        <w:bidi w:val="0"/>
        <w:adjustRightInd/>
        <w:snapToGrid/>
        <w:ind w:firstLine="640"/>
        <w:textAlignment w:val="auto"/>
        <w:rPr>
          <w:rFonts w:hint="default" w:ascii="黑体" w:hAnsi="黑体" w:eastAsia="黑体" w:cs="黑体"/>
          <w:b w:val="0"/>
          <w:bCs/>
          <w:lang w:val="en-US" w:eastAsia="zh-CN"/>
        </w:rPr>
      </w:pPr>
      <w:r>
        <w:rPr>
          <w:rFonts w:hint="eastAsia" w:ascii="黑体" w:hAnsi="黑体" w:eastAsia="黑体" w:cs="黑体"/>
          <w:b w:val="0"/>
          <w:bCs/>
          <w:lang w:val="en-US" w:eastAsia="zh-CN"/>
        </w:rPr>
        <w:t>五、</w:t>
      </w:r>
      <w:r>
        <w:rPr>
          <w:rFonts w:hint="default" w:ascii="黑体" w:hAnsi="黑体" w:eastAsia="黑体" w:cs="黑体"/>
          <w:b w:val="0"/>
          <w:bCs/>
          <w:lang w:val="en-US" w:eastAsia="zh-CN"/>
        </w:rPr>
        <w:t>备注</w:t>
      </w:r>
    </w:p>
    <w:p w14:paraId="5AED330D">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val="0"/>
          <w:bCs/>
          <w:lang w:eastAsia="zh-CN"/>
        </w:rPr>
      </w:pPr>
      <w:r>
        <w:rPr>
          <w:rFonts w:hint="default" w:ascii="Times New Roman" w:hAnsi="Times New Roman" w:cs="Times New Roman"/>
          <w:b w:val="0"/>
          <w:bCs/>
          <w:lang w:eastAsia="zh-CN"/>
        </w:rPr>
        <w:t>无</w:t>
      </w:r>
    </w:p>
    <w:sectPr>
      <w:footerReference r:id="rId7" w:type="default"/>
      <w:pgSz w:w="11906" w:h="16838"/>
      <w:pgMar w:top="1440" w:right="1800" w:bottom="1440" w:left="18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396E6B-008C-42B1-82BE-30219FDECA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CD2D33A-2A91-48C8-83DA-6A639E195150}"/>
  </w:font>
  <w:font w:name="楷体_GB2312">
    <w:panose1 w:val="02010609030101010101"/>
    <w:charset w:val="86"/>
    <w:family w:val="auto"/>
    <w:pitch w:val="default"/>
    <w:sig w:usb0="00000001" w:usb1="080E0000" w:usb2="00000000" w:usb3="00000000" w:csb0="00040000" w:csb1="00000000"/>
    <w:embedRegular r:id="rId3" w:fontKey="{9E529D6D-3D5F-44FF-8F2D-910B5855B12E}"/>
  </w:font>
  <w:font w:name="方正小标宋简体">
    <w:panose1 w:val="02000000000000000000"/>
    <w:charset w:val="86"/>
    <w:family w:val="auto"/>
    <w:pitch w:val="default"/>
    <w:sig w:usb0="00000001" w:usb1="080E0000" w:usb2="00000000" w:usb3="00000000" w:csb0="00040000" w:csb1="00000000"/>
    <w:embedRegular r:id="rId4" w:fontKey="{0E4DB2B5-0ED0-436F-97B1-D8A3E4F09F3A}"/>
  </w:font>
  <w:font w:name="华文中宋">
    <w:panose1 w:val="02010600040101010101"/>
    <w:charset w:val="86"/>
    <w:family w:val="auto"/>
    <w:pitch w:val="default"/>
    <w:sig w:usb0="00000287" w:usb1="080F0000" w:usb2="00000000" w:usb3="00000000" w:csb0="0004009F" w:csb1="DFD70000"/>
    <w:embedRegular r:id="rId5" w:fontKey="{9B589434-ECBD-494D-896C-906382F0FBAA}"/>
  </w:font>
  <w:font w:name="方正小标宋_GBK">
    <w:panose1 w:val="02000000000000000000"/>
    <w:charset w:val="86"/>
    <w:family w:val="script"/>
    <w:pitch w:val="default"/>
    <w:sig w:usb0="A00002BF" w:usb1="38CF7CFA" w:usb2="00082016" w:usb3="00000000" w:csb0="00040001" w:csb1="00000000"/>
    <w:embedRegular r:id="rId6" w:fontKey="{70C06884-FF05-41BB-9568-F3477490028C}"/>
  </w:font>
  <w:font w:name="楷体">
    <w:panose1 w:val="02010609060101010101"/>
    <w:charset w:val="86"/>
    <w:family w:val="modern"/>
    <w:pitch w:val="default"/>
    <w:sig w:usb0="800002BF" w:usb1="38CF7CFA" w:usb2="00000016" w:usb3="00000000" w:csb0="00040001" w:csb1="00000000"/>
    <w:embedRegular r:id="rId7" w:fontKey="{6E44A6DB-05D8-4E50-8A6D-8240AD6DCB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5F417">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1D37D">
    <w:pPr>
      <w:pStyle w:val="5"/>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748A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0748A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B62E">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3525C"/>
    <w:multiLevelType w:val="singleLevel"/>
    <w:tmpl w:val="6BB3525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E4D12"/>
    <w:rsid w:val="018D1D97"/>
    <w:rsid w:val="02616860"/>
    <w:rsid w:val="080A5120"/>
    <w:rsid w:val="092C454D"/>
    <w:rsid w:val="0A481111"/>
    <w:rsid w:val="11177B40"/>
    <w:rsid w:val="129B6365"/>
    <w:rsid w:val="14764B12"/>
    <w:rsid w:val="15EE3433"/>
    <w:rsid w:val="191F6B5F"/>
    <w:rsid w:val="19BF34CD"/>
    <w:rsid w:val="1C98409F"/>
    <w:rsid w:val="1E5379AC"/>
    <w:rsid w:val="204F1D62"/>
    <w:rsid w:val="23727180"/>
    <w:rsid w:val="24675346"/>
    <w:rsid w:val="2573204F"/>
    <w:rsid w:val="26874A73"/>
    <w:rsid w:val="26FB4F86"/>
    <w:rsid w:val="282332D7"/>
    <w:rsid w:val="293F6969"/>
    <w:rsid w:val="2C54749F"/>
    <w:rsid w:val="2E6D7F83"/>
    <w:rsid w:val="2F994270"/>
    <w:rsid w:val="335B7732"/>
    <w:rsid w:val="33F63385"/>
    <w:rsid w:val="34496CE3"/>
    <w:rsid w:val="355A7397"/>
    <w:rsid w:val="357409AD"/>
    <w:rsid w:val="3645124A"/>
    <w:rsid w:val="3AD40531"/>
    <w:rsid w:val="402056D3"/>
    <w:rsid w:val="411A73CB"/>
    <w:rsid w:val="414067C7"/>
    <w:rsid w:val="42F8395B"/>
    <w:rsid w:val="43660421"/>
    <w:rsid w:val="448736FC"/>
    <w:rsid w:val="44CC06C5"/>
    <w:rsid w:val="45980FA3"/>
    <w:rsid w:val="472965B9"/>
    <w:rsid w:val="48561ACF"/>
    <w:rsid w:val="496050C1"/>
    <w:rsid w:val="4A241BB8"/>
    <w:rsid w:val="4D05239A"/>
    <w:rsid w:val="4D3439A8"/>
    <w:rsid w:val="4E2D0C6E"/>
    <w:rsid w:val="4FA337E6"/>
    <w:rsid w:val="4FEE4D12"/>
    <w:rsid w:val="511D0F3D"/>
    <w:rsid w:val="548F48DF"/>
    <w:rsid w:val="574F62A7"/>
    <w:rsid w:val="59187870"/>
    <w:rsid w:val="59746759"/>
    <w:rsid w:val="5A9A53AC"/>
    <w:rsid w:val="5B4223F6"/>
    <w:rsid w:val="5C264244"/>
    <w:rsid w:val="5C3D06E5"/>
    <w:rsid w:val="5D1C5A4F"/>
    <w:rsid w:val="5E3659C8"/>
    <w:rsid w:val="5F681F3F"/>
    <w:rsid w:val="60300023"/>
    <w:rsid w:val="60392E2E"/>
    <w:rsid w:val="604243EB"/>
    <w:rsid w:val="609A52AA"/>
    <w:rsid w:val="6151317D"/>
    <w:rsid w:val="62F85366"/>
    <w:rsid w:val="64426B0C"/>
    <w:rsid w:val="65876D60"/>
    <w:rsid w:val="663761E7"/>
    <w:rsid w:val="699D482D"/>
    <w:rsid w:val="6B2F5571"/>
    <w:rsid w:val="6F6115A8"/>
    <w:rsid w:val="704C59BF"/>
    <w:rsid w:val="705F0618"/>
    <w:rsid w:val="722A050C"/>
    <w:rsid w:val="72C963D7"/>
    <w:rsid w:val="72E72932"/>
    <w:rsid w:val="73C17CAD"/>
    <w:rsid w:val="749A7225"/>
    <w:rsid w:val="74DB759E"/>
    <w:rsid w:val="76406B64"/>
    <w:rsid w:val="7A647F83"/>
    <w:rsid w:val="7D2A5C03"/>
    <w:rsid w:val="7DA129AE"/>
    <w:rsid w:val="7DFF2BFB"/>
    <w:rsid w:val="7F39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spacing w:beforeAutospacing="0" w:afterAutospacing="0" w:line="560" w:lineRule="exact"/>
      <w:ind w:left="0" w:leftChars="0" w:firstLine="880" w:firstLineChars="200"/>
      <w:jc w:val="left"/>
      <w:outlineLvl w:val="1"/>
    </w:pPr>
    <w:rPr>
      <w:rFonts w:ascii="Arial" w:hAnsi="Arial" w:eastAsia="黑体"/>
      <w:sz w:val="32"/>
    </w:rPr>
  </w:style>
  <w:style w:type="paragraph" w:styleId="3">
    <w:name w:val="heading 3"/>
    <w:basedOn w:val="1"/>
    <w:next w:val="1"/>
    <w:qFormat/>
    <w:uiPriority w:val="0"/>
    <w:pPr>
      <w:keepNext/>
      <w:keepLines/>
      <w:spacing w:beforeLines="0" w:beforeAutospacing="0" w:afterLines="0" w:afterAutospacing="0" w:line="560" w:lineRule="exact"/>
      <w:outlineLvl w:val="2"/>
    </w:pPr>
    <w:rPr>
      <w:rFonts w:eastAsia="楷体_GB2312"/>
      <w:b/>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spacing w:line="240" w:lineRule="atLeast"/>
      <w:jc w:val="left"/>
    </w:pPr>
    <w:rPr>
      <w:sz w:val="18"/>
      <w:szCs w:val="18"/>
    </w:rPr>
  </w:style>
  <w:style w:type="paragraph" w:styleId="6">
    <w:name w:val="header"/>
    <w:basedOn w:val="1"/>
    <w:qFormat/>
    <w:uiPriority w:val="0"/>
    <w:pPr>
      <w:tabs>
        <w:tab w:val="center" w:pos="4153"/>
        <w:tab w:val="right" w:pos="8306"/>
      </w:tabs>
      <w:snapToGrid w:val="0"/>
      <w:spacing w:line="240" w:lineRule="atLeast"/>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683edf10-a13c-414d-9bcc-ade5b3af4919</errorID>
      <errorWord>强</errorWord>
      <group>L1_Word</group>
      <groupName>字词问题</groupName>
      <ability>L2_Typo</ability>
      <abilityName>字词错误</abilityName>
      <candidateList>
        <item>强对</item>
      </candidateList>
      <explain/>
      <paraID>2645E4B4</paraID>
      <start>3</start>
      <end>5</end>
      <status>modified</status>
      <modifiedWord>强对</modifiedWord>
      <trackRevisions>false</trackRevisions>
    </reviewItem>
    <reviewItem>
      <errorID>95a18c92-b106-4a76-9737-ad4c3715f7fe</errorID>
      <errorWord>其它</errorWord>
      <group>L1_Word</group>
      <groupName>字词问题</groupName>
      <ability>L2_Alias</ability>
      <abilityName>也作/曾用词</abilityName>
      <candidateList>
        <item>其他</item>
      </candidateList>
      <explain>词汇[其它]为不规范表述或旧称，其规范书面表述为[其他]。</explain>
      <paraID>25F27E08</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469d5-5774-46bd-beff-e61a277c0e2e}">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3657</Words>
  <Characters>3851</Characters>
  <Lines>0</Lines>
  <Paragraphs>0</Paragraphs>
  <TotalTime>2</TotalTime>
  <ScaleCrop>false</ScaleCrop>
  <LinksUpToDate>false</LinksUpToDate>
  <CharactersWithSpaces>3851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2025-03-13T07:54:00Z</dcterms:created>
  <dc:creator>August</dc:creator>
  <cp:lastModifiedBy>咕嘟</cp:lastModifiedBy>
  <cp:lastPrinted>2026-03-31T02:43:00Z</cp:lastPrinted>
  <dcterms:modified xsi:type="dcterms:W3CDTF">2026-09-03T10:35:07Z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B99F28DF52B14C158D03FB31872B0A73_13</vt:lpwstr>
  </property>
  <property fmtid="{D5CDD505-2E9C-101B-9397-08002B2CF9AE}" pid="4" name="KSOTemplateDocerSaveRecord">
    <vt:lpwstr>eyJoZGlkIjoiMzQ2NDNlZDExNmRlNTJhNGZkYjljYTE4OTU0OGExMWEiLCJ1c2VySWQiOiI0NjA2MjE5OTEifQ==</vt:lpwstr>
  </property>
</Properties>
</file>