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71037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C87A09D">
      <w:pPr>
        <w:spacing w:line="540" w:lineRule="exact"/>
        <w:jc w:val="center"/>
        <w:rPr>
          <w:rFonts w:ascii="华文中宋" w:hAnsi="华文中宋" w:eastAsia="华文中宋" w:cs="宋体"/>
          <w:b/>
          <w:kern w:val="0"/>
          <w:sz w:val="52"/>
          <w:szCs w:val="52"/>
        </w:rPr>
      </w:pPr>
    </w:p>
    <w:p w14:paraId="7D5FEE02">
      <w:pPr>
        <w:spacing w:line="540" w:lineRule="exact"/>
        <w:jc w:val="center"/>
        <w:rPr>
          <w:rFonts w:ascii="华文中宋" w:hAnsi="华文中宋" w:eastAsia="华文中宋" w:cs="宋体"/>
          <w:b/>
          <w:kern w:val="0"/>
          <w:sz w:val="52"/>
          <w:szCs w:val="52"/>
        </w:rPr>
      </w:pPr>
    </w:p>
    <w:p w14:paraId="1ED9292F">
      <w:pPr>
        <w:spacing w:line="540" w:lineRule="exact"/>
        <w:jc w:val="center"/>
        <w:rPr>
          <w:rFonts w:ascii="华文中宋" w:hAnsi="华文中宋" w:eastAsia="华文中宋" w:cs="宋体"/>
          <w:b/>
          <w:kern w:val="0"/>
          <w:sz w:val="52"/>
          <w:szCs w:val="52"/>
        </w:rPr>
      </w:pPr>
    </w:p>
    <w:p w14:paraId="0351DC12">
      <w:pPr>
        <w:spacing w:line="540" w:lineRule="exact"/>
        <w:jc w:val="center"/>
        <w:rPr>
          <w:rFonts w:ascii="华文中宋" w:hAnsi="华文中宋" w:eastAsia="华文中宋" w:cs="宋体"/>
          <w:b/>
          <w:kern w:val="0"/>
          <w:sz w:val="52"/>
          <w:szCs w:val="52"/>
        </w:rPr>
      </w:pPr>
    </w:p>
    <w:p w14:paraId="1BAF77E2">
      <w:pPr>
        <w:spacing w:line="540" w:lineRule="exact"/>
        <w:jc w:val="center"/>
        <w:rPr>
          <w:rFonts w:ascii="华文中宋" w:hAnsi="华文中宋" w:eastAsia="华文中宋" w:cs="宋体"/>
          <w:b/>
          <w:kern w:val="0"/>
          <w:sz w:val="52"/>
          <w:szCs w:val="52"/>
        </w:rPr>
      </w:pPr>
    </w:p>
    <w:p w14:paraId="2B2B6CC3">
      <w:pPr>
        <w:spacing w:line="540" w:lineRule="exact"/>
        <w:jc w:val="center"/>
        <w:rPr>
          <w:rFonts w:ascii="华文中宋" w:hAnsi="华文中宋" w:eastAsia="华文中宋" w:cs="宋体"/>
          <w:b/>
          <w:kern w:val="0"/>
          <w:sz w:val="52"/>
          <w:szCs w:val="52"/>
        </w:rPr>
      </w:pPr>
    </w:p>
    <w:p w14:paraId="4FDF3EC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B3CA832">
      <w:pPr>
        <w:spacing w:line="540" w:lineRule="exact"/>
        <w:jc w:val="center"/>
        <w:rPr>
          <w:rFonts w:ascii="华文中宋" w:hAnsi="华文中宋" w:eastAsia="华文中宋" w:cs="宋体"/>
          <w:b/>
          <w:kern w:val="0"/>
          <w:sz w:val="52"/>
          <w:szCs w:val="52"/>
        </w:rPr>
      </w:pPr>
    </w:p>
    <w:p w14:paraId="5F8FACE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25DE57F">
      <w:pPr>
        <w:spacing w:line="540" w:lineRule="exact"/>
        <w:jc w:val="center"/>
        <w:rPr>
          <w:rFonts w:hAnsi="宋体" w:eastAsia="仿宋_GB2312" w:cs="宋体"/>
          <w:kern w:val="0"/>
          <w:sz w:val="30"/>
          <w:szCs w:val="30"/>
        </w:rPr>
      </w:pPr>
    </w:p>
    <w:p w14:paraId="5071E182">
      <w:pPr>
        <w:spacing w:line="540" w:lineRule="exact"/>
        <w:jc w:val="center"/>
        <w:rPr>
          <w:rFonts w:hAnsi="宋体" w:eastAsia="仿宋_GB2312" w:cs="宋体"/>
          <w:kern w:val="0"/>
          <w:sz w:val="30"/>
          <w:szCs w:val="30"/>
        </w:rPr>
      </w:pPr>
    </w:p>
    <w:p w14:paraId="31420CD3">
      <w:pPr>
        <w:spacing w:line="540" w:lineRule="exact"/>
        <w:jc w:val="center"/>
        <w:rPr>
          <w:rFonts w:hAnsi="宋体" w:eastAsia="仿宋_GB2312" w:cs="宋体"/>
          <w:kern w:val="0"/>
          <w:sz w:val="30"/>
          <w:szCs w:val="30"/>
        </w:rPr>
      </w:pPr>
      <w:bookmarkStart w:id="0" w:name="_GoBack"/>
      <w:bookmarkEnd w:id="0"/>
    </w:p>
    <w:p w14:paraId="2F9A4952">
      <w:pPr>
        <w:spacing w:line="540" w:lineRule="exact"/>
        <w:jc w:val="center"/>
        <w:rPr>
          <w:rFonts w:hAnsi="宋体" w:eastAsia="仿宋_GB2312" w:cs="宋体"/>
          <w:kern w:val="0"/>
          <w:sz w:val="30"/>
          <w:szCs w:val="30"/>
        </w:rPr>
      </w:pPr>
    </w:p>
    <w:p w14:paraId="215B3189">
      <w:pPr>
        <w:spacing w:line="540" w:lineRule="exact"/>
        <w:jc w:val="center"/>
        <w:rPr>
          <w:rFonts w:hAnsi="宋体" w:eastAsia="仿宋_GB2312" w:cs="宋体"/>
          <w:kern w:val="0"/>
          <w:sz w:val="30"/>
          <w:szCs w:val="30"/>
        </w:rPr>
      </w:pPr>
    </w:p>
    <w:p w14:paraId="2F54F674">
      <w:pPr>
        <w:spacing w:line="540" w:lineRule="exact"/>
        <w:rPr>
          <w:rFonts w:hAnsi="宋体" w:eastAsia="仿宋_GB2312" w:cs="宋体"/>
          <w:kern w:val="0"/>
          <w:sz w:val="30"/>
          <w:szCs w:val="30"/>
        </w:rPr>
      </w:pPr>
    </w:p>
    <w:p w14:paraId="3149DB7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23A0DE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公用运转类(后勤保障类项目)</w:t>
      </w:r>
    </w:p>
    <w:p w14:paraId="1000061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新疆财经大学</w:t>
      </w:r>
    </w:p>
    <w:p w14:paraId="58ADB38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新疆财经大学</w:t>
      </w:r>
    </w:p>
    <w:p w14:paraId="6316421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居来提·吐尔地</w:t>
      </w:r>
    </w:p>
    <w:p w14:paraId="13C793C9">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2024年03月11日</w:t>
      </w:r>
    </w:p>
    <w:p w14:paraId="43333FBE">
      <w:pPr>
        <w:spacing w:line="700" w:lineRule="exact"/>
        <w:ind w:firstLine="708" w:firstLineChars="236"/>
        <w:jc w:val="left"/>
        <w:rPr>
          <w:rFonts w:hAnsi="宋体" w:eastAsia="仿宋_GB2312" w:cs="宋体"/>
          <w:kern w:val="0"/>
          <w:sz w:val="30"/>
          <w:szCs w:val="30"/>
        </w:rPr>
      </w:pPr>
    </w:p>
    <w:p w14:paraId="143237AF">
      <w:pPr>
        <w:spacing w:line="540" w:lineRule="exact"/>
        <w:rPr>
          <w:rStyle w:val="18"/>
          <w:rFonts w:ascii="黑体" w:hAnsi="黑体" w:eastAsia="黑体"/>
          <w:b w:val="0"/>
          <w:spacing w:val="-4"/>
          <w:sz w:val="32"/>
          <w:szCs w:val="32"/>
        </w:rPr>
      </w:pPr>
    </w:p>
    <w:p w14:paraId="039FEE0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6C91A2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14:paraId="48769B9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为了更好的完成学校要求，以求切实提高新疆财经大学师生满意度为目标，着力解决师生日益增长的美好生活需要与后勤服务保障不平衡不充分的矛盾，保证服务水平的提高，同时保障服务质量和师生满意度大幅度提升。其中后勤处餐饮服务部负责做好教工和学生食堂餐饮服务保障、聘用员工管理、食品安全、消防安全等各项工作；校医院负责做好学校卫生防疫、学生体检和门诊工作；校幼儿园负责做好教师子女入园管理服务各项工作。</w:t>
      </w:r>
      <w:r>
        <w:rPr>
          <w:rStyle w:val="18"/>
          <w:rFonts w:hint="eastAsia" w:ascii="楷体" w:hAnsi="楷体" w:eastAsia="楷体"/>
          <w:spacing w:val="-4"/>
          <w:sz w:val="32"/>
          <w:szCs w:val="32"/>
        </w:rPr>
        <w:tab/>
      </w:r>
      <w:r>
        <w:rPr>
          <w:rStyle w:val="18"/>
          <w:rFonts w:hint="eastAsia" w:ascii="楷体" w:hAnsi="楷体" w:eastAsia="楷体"/>
          <w:spacing w:val="-4"/>
          <w:sz w:val="32"/>
          <w:szCs w:val="32"/>
        </w:rPr>
        <w:tab/>
      </w:r>
      <w:r>
        <w:rPr>
          <w:rStyle w:val="18"/>
          <w:rFonts w:hint="eastAsia" w:ascii="楷体" w:hAnsi="楷体" w:eastAsia="楷体"/>
          <w:spacing w:val="-4"/>
          <w:sz w:val="32"/>
          <w:szCs w:val="32"/>
        </w:rPr>
        <w:tab/>
      </w:r>
      <w:r>
        <w:rPr>
          <w:rStyle w:val="18"/>
          <w:rFonts w:hint="eastAsia" w:ascii="楷体" w:hAnsi="楷体" w:eastAsia="楷体"/>
          <w:spacing w:val="-4"/>
          <w:sz w:val="32"/>
          <w:szCs w:val="32"/>
        </w:rPr>
        <w:tab/>
      </w:r>
      <w:r>
        <w:rPr>
          <w:rStyle w:val="18"/>
          <w:rFonts w:hint="eastAsia" w:ascii="楷体" w:hAnsi="楷体" w:eastAsia="楷体"/>
          <w:spacing w:val="-4"/>
          <w:sz w:val="32"/>
          <w:szCs w:val="32"/>
        </w:rPr>
        <w:tab/>
      </w:r>
    </w:p>
    <w:p w14:paraId="0382DC2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14:paraId="23717F8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减少安全生产事故，保障学校后勤服务水平，做好2万余师生每日餐饮服务保障和餐饮服务聘用员工管理、食品安全、消防安全等各项工作；接待师生就诊1万余次，做好学校卫生防疫、学生体检和校医院门诊工作；做好教师子女120余人在校幼儿园管理服务的各项工作。</w:t>
      </w:r>
      <w:r>
        <w:rPr>
          <w:rStyle w:val="18"/>
          <w:rFonts w:hint="eastAsia" w:ascii="楷体" w:hAnsi="楷体" w:eastAsia="楷体"/>
          <w:spacing w:val="-4"/>
          <w:sz w:val="32"/>
          <w:szCs w:val="32"/>
        </w:rPr>
        <w:tab/>
      </w:r>
      <w:r>
        <w:rPr>
          <w:rStyle w:val="18"/>
          <w:rFonts w:hint="eastAsia" w:ascii="楷体" w:hAnsi="楷体" w:eastAsia="楷体"/>
          <w:spacing w:val="-4"/>
          <w:sz w:val="32"/>
          <w:szCs w:val="32"/>
        </w:rPr>
        <w:tab/>
      </w:r>
      <w:r>
        <w:rPr>
          <w:rStyle w:val="18"/>
          <w:rFonts w:hint="eastAsia" w:ascii="楷体" w:hAnsi="楷体" w:eastAsia="楷体"/>
          <w:spacing w:val="-4"/>
          <w:sz w:val="32"/>
          <w:szCs w:val="32"/>
        </w:rPr>
        <w:tab/>
      </w:r>
      <w:r>
        <w:rPr>
          <w:rStyle w:val="18"/>
          <w:rFonts w:hint="eastAsia" w:ascii="楷体" w:hAnsi="楷体" w:eastAsia="楷体"/>
          <w:spacing w:val="-4"/>
          <w:sz w:val="32"/>
          <w:szCs w:val="32"/>
        </w:rPr>
        <w:tab/>
      </w:r>
      <w:r>
        <w:rPr>
          <w:rStyle w:val="18"/>
          <w:rFonts w:hint="eastAsia" w:ascii="楷体" w:hAnsi="楷体" w:eastAsia="楷体"/>
          <w:spacing w:val="-4"/>
          <w:sz w:val="32"/>
          <w:szCs w:val="32"/>
        </w:rPr>
        <w:tab/>
      </w:r>
    </w:p>
    <w:p w14:paraId="6B9D6CF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14:paraId="71911C6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687A8C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为了更好的完成学校要求，切实提高新疆财经大学师生满意度为目标，减少安全生产事故，保障学校后勤服务水平，做好2万余师生每日餐饮服务保障和餐饮服务聘用员工管理、食品安全、消防安全等各项工作；接待师生就诊1万余次，做好学校卫生防疫、学生体检和校医院门诊工作；做好教师子女120余人在校幼儿园管理服务的各项工作。</w:t>
      </w:r>
    </w:p>
    <w:p w14:paraId="34DCFFC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14:paraId="44AEF8C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2023年，后勤处以预算绩效为目标，以内控建设为抓手，科学、合理编制预算，规范财务管理，严格预算执行，履职成效明显，圆满完成了年度各项工作任务和绩效目标。其中：</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餐饮服务部全面保障学校食品安全，2023年未发生食品安全事故；②提高餐饮服务质量，丰富菜肴种类，加强膳食营养搭配，同时引进社会餐饮企业，提高师生对餐饮服务的满意度；③在保障食堂餐饮质量的同时，严控各项支出成本，降低餐饮成本，保证学生基本餐不涨价；④校医院加强完善公共卫生事件、传染病疫情预警方案，全力保障全校师生身体健康情况；⑤做好学生入校体检及门诊诊断工作，2023年共计接待25862人次；⑥为减轻学生负担，着力控制门诊费用，减少学生使用高费药品耗材，提高基本药品使用率；⑦幼儿园推动构建科学保教体系，提高保教质量，促进幼儿园学前教育普及普惠安全优质发展，在保障教师子女入园管理服务外，还向社会提供普惠性服务，2023年共计接受143名幼儿学生。</w:t>
      </w:r>
    </w:p>
    <w:p w14:paraId="08F6736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21691E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正常完成指标：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药品、食品合格率：100；经费取得及使用及时率：90；幼儿园保教食材成本：20；校医院运营成本：129.40；减少安全生产事故：有效减少；师生满意度：90；餐饮服务人数：20000；幼儿园学生数：120；师生就诊人次：10000</w:t>
      </w:r>
    </w:p>
    <w:p w14:paraId="6A4D778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14:paraId="38BAFA3A">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后勤工作应立足于学校的发展，坚持以人为本、服务至上原则。提高服务意识、严控管理成本，努力建设优质、高效的后勤工作。</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1、进一步完善服务举措，建立保障后勤服务质量的长效机制。</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2、提高主动服务意识，形成主动找问题和解决问题，落实精细化管理的良好风气，全面提升后勤服务质量。</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3、优化人力、财力、物力资源配置。合理设置岗位，明确岗位职责，做到减员增效，从而降低用工成本，提升人力资源效益。</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4、进一步树牢过紧日子思想，加强预算管理，严禁无预算、超预算支出。</w:t>
      </w:r>
    </w:p>
    <w:p w14:paraId="40C70B07">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14:paraId="5D7DC36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071BF8B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1.注重调查研究，决策前进行充分论证。建立科学化、民主化和法治化的项目决策机制，把专家咨询纳入决策过程，发挥专家顾问团的作用，充分利用信息技术和信息资源，完善与专家学者的联络机制。</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2.设置合理的绩效目标和明确的绩效指标。绩效目标要符合客观实际，与资金量匹配。依据绩效目标，设定细化、具体化的绩效指标，提高量化率和预算与目标匹配度。</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3.对项目进行的系统的、客观的分析。分析原因，总结经验，吸取教训，并将结果运用于下年度预算申报中。</w:t>
      </w:r>
    </w:p>
    <w:p w14:paraId="1EBDB6B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228D658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1、加强各单位之间的沟通，科学、合理安排预算。财务处要加强与项目责任单位的联系，及时了解项目实际情况和下年度工作安排，细化预算工作，合理安排预算并监督预算有效执行。</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2、加强预算管理，将绩效管理与执行挂钩。建立预算项目绩效管理制度，加强责任制度落实，做到项目执行期中有监控、期末有考核，加快预算执行，提高资金的使用效益。</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3、科学安排下一年度预算，提升预算管理精细化水平。保证预算资金发挥最大作用。</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4、督促各科室（服务部）严格执行预算项目，做到无预算不支出，有预算不超支。</w:t>
      </w:r>
    </w:p>
    <w:p w14:paraId="122E66B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269520C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1、餐饮服务方面：利用资金招聘了优秀的厨师、服务人员，招标引进多样化就餐窗口，丰富了菜品品种70余种，口味不断提升，师生满意度不断提高。</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2、医疗服务方面：利用资金购置了一批先进医疗设施设备，招聘了专业技术医生，医疗队伍不断壮大，医疗服务水平不断提高。</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3、保育服务方面：利用资金购置教育教学设备，招聘优秀幼儿教师，课堂教学多样性极大丰富，取得了幼儿及家长的广泛好评。</w:t>
      </w:r>
    </w:p>
    <w:p w14:paraId="1819871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5B538FE1">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2023年，后勤处以预算绩效为目标，以内控建设为抓手，科学、合理编制预算，规范财务管理，严格预算执行，履职成效明显，圆满完成了年度各项工作任务和绩效目标。其中：</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餐饮服务部全面保障学校食品安全，2023年未发生食品安全事故；②提高餐饮服务质量，丰富菜肴种类，加强膳食营养搭配，同时引进社会餐饮企业，提高师生对餐饮服务的满意度；③在保障食堂餐饮质量的同时，严控各项支出成本，降低餐饮成本，保证学生基本餐不涨价；④校医院加强完善公共卫生事件、传染病疫情预警方案，全力保障全校师生身体健康情况；⑤做好学生入校体检及门诊诊断工作，2023年共计接待25862人次；⑥为减轻学生负担，着力控制门诊费用，减少学生使用高费药品耗材，提高基本药品使用率；⑦幼儿园推动构建科学保教体系，提高保教质量，促进幼儿园学前教育普及普惠安全优质发展，在保障教师子女入园管理服务外，还向社会提供普惠性服务，2023年共计接受143名幼儿学生。</w:t>
      </w:r>
    </w:p>
    <w:p w14:paraId="1ADED6C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2023年，后勤处以预算绩效为目标，以内控建设为抓手，科学、合理编制预算，规范财务管理，严格预算执行，履职成效明显，圆满完成了年度各项工作任务和绩效目标。其中：</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餐饮服务部全面保障学校食品安全，2023年未发生食品安全事故；②提高餐饮服务质量，丰富菜肴种类，加强膳食营养搭配，同时引进社会餐饮企业，提高师生对餐饮服务的满意度；③在保障食堂餐饮质量的同时，严控各项支出成本，降低餐饮成本，保证学生基本餐不涨价；④校医院加强完善公共卫生事件、传染病疫情预警方案，全力保障全校师生身体健康情况；⑤做好学生入校体检及门诊诊断工作，2023年共计接待25862人次；⑥为减轻学生负担，着力控制门诊费用，减少学生使用高费药品耗材，提高基本药品使用率；⑦幼儿园推动构建科学保教体系，提高保教质量，促进幼儿园学前教育普及普惠安全优质发展，在保障教师子女入园管理服务外，还向社会提供普惠性服务，2023年共计接受143名幼儿学生。</w:t>
      </w:r>
    </w:p>
    <w:p w14:paraId="06F869B8">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14:paraId="7AB708D9">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项目存在的主要问题：</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1、绩效评价指标设定不够细化。校医院就诊人次实际25862人次。因防疫工作调整后，学生就医不需要在去指定医院，导致校医院门诊就诊人数增加，成本增加。</w:t>
      </w:r>
    </w:p>
    <w:p w14:paraId="40EDF380">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14:paraId="7A669610">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14:paraId="2C4DD1B7">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14:paraId="17F32DF0">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14:paraId="4FF97087">
      <w:pPr>
        <w:spacing w:line="540" w:lineRule="exact"/>
        <w:ind w:firstLine="567"/>
        <w:rPr>
          <w:rStyle w:val="18"/>
          <w:rFonts w:ascii="仿宋" w:hAnsi="仿宋" w:eastAsia="仿宋"/>
          <w:b w:val="0"/>
          <w:spacing w:val="-4"/>
          <w:sz w:val="32"/>
          <w:szCs w:val="32"/>
        </w:rPr>
      </w:pPr>
    </w:p>
    <w:p w14:paraId="7263ECCC">
      <w:pPr>
        <w:spacing w:line="540" w:lineRule="exact"/>
        <w:ind w:firstLine="567"/>
        <w:rPr>
          <w:rStyle w:val="18"/>
          <w:rFonts w:ascii="仿宋" w:hAnsi="仿宋" w:eastAsia="仿宋"/>
          <w:b w:val="0"/>
          <w:spacing w:val="-4"/>
          <w:sz w:val="32"/>
          <w:szCs w:val="32"/>
        </w:rPr>
      </w:pPr>
    </w:p>
    <w:p w14:paraId="515B2D64">
      <w:pPr>
        <w:spacing w:line="540" w:lineRule="exact"/>
        <w:ind w:firstLine="567"/>
        <w:rPr>
          <w:rStyle w:val="18"/>
          <w:rFonts w:ascii="仿宋" w:hAnsi="仿宋" w:eastAsia="仿宋"/>
          <w:b w:val="0"/>
          <w:spacing w:val="-4"/>
          <w:sz w:val="32"/>
          <w:szCs w:val="32"/>
        </w:rPr>
      </w:pPr>
    </w:p>
    <w:p w14:paraId="16B66BF2">
      <w:pPr>
        <w:spacing w:line="540" w:lineRule="exact"/>
        <w:ind w:firstLine="567"/>
        <w:rPr>
          <w:rStyle w:val="18"/>
          <w:rFonts w:ascii="仿宋" w:hAnsi="仿宋" w:eastAsia="仿宋"/>
          <w:b w:val="0"/>
          <w:spacing w:val="-4"/>
          <w:sz w:val="32"/>
          <w:szCs w:val="32"/>
        </w:rPr>
      </w:pPr>
    </w:p>
    <w:p w14:paraId="45C42916">
      <w:pPr>
        <w:spacing w:line="540" w:lineRule="exact"/>
        <w:ind w:firstLine="567"/>
        <w:rPr>
          <w:rStyle w:val="18"/>
          <w:rFonts w:ascii="仿宋" w:hAnsi="仿宋" w:eastAsia="仿宋"/>
          <w:b w:val="0"/>
          <w:spacing w:val="-4"/>
          <w:sz w:val="32"/>
          <w:szCs w:val="32"/>
        </w:rPr>
      </w:pPr>
    </w:p>
    <w:p w14:paraId="6CD56BD9">
      <w:pPr>
        <w:spacing w:line="540" w:lineRule="exact"/>
        <w:ind w:firstLine="567"/>
        <w:rPr>
          <w:rStyle w:val="18"/>
          <w:rFonts w:ascii="仿宋" w:hAnsi="仿宋" w:eastAsia="仿宋"/>
          <w:b w:val="0"/>
          <w:spacing w:val="-4"/>
          <w:sz w:val="32"/>
          <w:szCs w:val="32"/>
        </w:rPr>
      </w:pPr>
    </w:p>
    <w:p w14:paraId="266F0A96">
      <w:pPr>
        <w:spacing w:line="540" w:lineRule="exact"/>
        <w:ind w:firstLine="567"/>
        <w:rPr>
          <w:rStyle w:val="18"/>
          <w:rFonts w:ascii="仿宋" w:hAnsi="仿宋" w:eastAsia="仿宋"/>
          <w:b w:val="0"/>
          <w:spacing w:val="-4"/>
          <w:sz w:val="32"/>
          <w:szCs w:val="32"/>
        </w:rPr>
      </w:pPr>
    </w:p>
    <w:p w14:paraId="258BBEE3">
      <w:pPr>
        <w:spacing w:line="540" w:lineRule="exact"/>
        <w:ind w:firstLine="567"/>
        <w:rPr>
          <w:rStyle w:val="18"/>
          <w:rFonts w:ascii="仿宋" w:hAnsi="仿宋" w:eastAsia="仿宋"/>
          <w:b w:val="0"/>
          <w:spacing w:val="-4"/>
          <w:sz w:val="32"/>
          <w:szCs w:val="32"/>
        </w:rPr>
      </w:pPr>
    </w:p>
    <w:p w14:paraId="73FB6138">
      <w:pPr>
        <w:spacing w:line="540" w:lineRule="exact"/>
        <w:ind w:firstLine="567"/>
        <w:rPr>
          <w:rStyle w:val="18"/>
          <w:rFonts w:ascii="仿宋" w:hAnsi="仿宋" w:eastAsia="仿宋"/>
          <w:b w:val="0"/>
          <w:spacing w:val="-4"/>
          <w:sz w:val="32"/>
          <w:szCs w:val="32"/>
        </w:rPr>
      </w:pPr>
    </w:p>
    <w:p w14:paraId="38906541">
      <w:pPr>
        <w:spacing w:line="540" w:lineRule="exact"/>
        <w:ind w:firstLine="567"/>
        <w:rPr>
          <w:rStyle w:val="18"/>
          <w:rFonts w:ascii="仿宋" w:hAnsi="仿宋" w:eastAsia="仿宋"/>
          <w:b w:val="0"/>
          <w:spacing w:val="-4"/>
          <w:sz w:val="32"/>
          <w:szCs w:val="32"/>
        </w:rPr>
      </w:pPr>
    </w:p>
    <w:p w14:paraId="23D4753B">
      <w:pPr>
        <w:spacing w:line="540" w:lineRule="exact"/>
        <w:ind w:firstLine="567"/>
        <w:rPr>
          <w:rStyle w:val="18"/>
          <w:rFonts w:ascii="仿宋" w:hAnsi="仿宋" w:eastAsia="仿宋"/>
          <w:b w:val="0"/>
          <w:spacing w:val="-4"/>
          <w:sz w:val="32"/>
          <w:szCs w:val="32"/>
        </w:rPr>
      </w:pPr>
    </w:p>
    <w:p w14:paraId="64966DF5">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943A9EE-D14C-4D0B-8D53-5025C1B9223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F57A9439-8ADC-474F-8268-61B5D121E189}"/>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03020A15-9F53-4879-8D01-72E84F5E3241}"/>
  </w:font>
  <w:font w:name="华文中宋">
    <w:altName w:val="宋体"/>
    <w:panose1 w:val="02010600040101010101"/>
    <w:charset w:val="86"/>
    <w:family w:val="auto"/>
    <w:pitch w:val="default"/>
    <w:sig w:usb0="00000000" w:usb1="00000000" w:usb2="00000000" w:usb3="00000000" w:csb0="0004009F" w:csb1="DFD70000"/>
    <w:embedRegular r:id="rId4" w:fontKey="{CF25181D-470F-4986-A965-FC120726D71A}"/>
  </w:font>
  <w:font w:name="方正小标宋_GBK">
    <w:panose1 w:val="02000000000000000000"/>
    <w:charset w:val="86"/>
    <w:family w:val="script"/>
    <w:pitch w:val="default"/>
    <w:sig w:usb0="A00002BF" w:usb1="38CF7CFA" w:usb2="00082016" w:usb3="00000000" w:csb0="00040001" w:csb1="00000000"/>
    <w:embedRegular r:id="rId5" w:fontKey="{6DE13466-8797-4BB5-98B4-427BA0AE4DAD}"/>
  </w:font>
  <w:font w:name="仿宋_GB2312">
    <w:altName w:val="仿宋"/>
    <w:panose1 w:val="02010609030101010101"/>
    <w:charset w:val="86"/>
    <w:family w:val="modern"/>
    <w:pitch w:val="default"/>
    <w:sig w:usb0="00000000" w:usb1="00000000" w:usb2="00000000" w:usb3="00000000" w:csb0="00040000" w:csb1="00000000"/>
    <w:embedRegular r:id="rId6" w:fontKey="{3C32123F-9BA1-4C7F-90DB-A62F71BAF8AC}"/>
  </w:font>
  <w:font w:name="楷体">
    <w:panose1 w:val="02010609060101010101"/>
    <w:charset w:val="86"/>
    <w:family w:val="modern"/>
    <w:pitch w:val="default"/>
    <w:sig w:usb0="800002BF" w:usb1="38CF7CFA" w:usb2="00000016" w:usb3="00000000" w:csb0="00040001" w:csb1="00000000"/>
    <w:embedRegular r:id="rId7" w:fontKey="{CB12D6EF-202F-4B92-BA50-915516D11E5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DB84798">
        <w:pPr>
          <w:pStyle w:val="12"/>
          <w:jc w:val="center"/>
        </w:pPr>
        <w:r>
          <w:fldChar w:fldCharType="begin"/>
        </w:r>
        <w:r>
          <w:instrText xml:space="preserve">PAGE   \* MERGEFORMAT</w:instrText>
        </w:r>
        <w:r>
          <w:fldChar w:fldCharType="separate"/>
        </w:r>
        <w:r>
          <w:rPr>
            <w:lang w:val="zh-CN"/>
          </w:rPr>
          <w:t>1</w:t>
        </w:r>
        <w:r>
          <w:fldChar w:fldCharType="end"/>
        </w:r>
      </w:p>
    </w:sdtContent>
  </w:sdt>
  <w:p w14:paraId="21A67147">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yMDg3YTQ4MzViMTVhODY0OTYyNjYzZjY3YzcxMTA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0EE07121"/>
    <w:rsid w:val="3CF22F8C"/>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3002</Words>
  <Characters>3096</Characters>
  <Lines>5</Lines>
  <Paragraphs>1</Paragraphs>
  <TotalTime>1</TotalTime>
  <ScaleCrop>false</ScaleCrop>
  <LinksUpToDate>false</LinksUpToDate>
  <CharactersWithSpaces>3127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青</cp:lastModifiedBy>
  <cp:lastPrinted>2018-12-31T10:56:00Z</cp:lastPrinted>
  <dcterms:modified xsi:type="dcterms:W3CDTF">2024-10-16T02:43:13Z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160D1BA1944349B08C48068401F6E698</vt:lpwstr>
  </property>
</Properties>
</file>