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9D8C5" w14:textId="020C02CB" w:rsidR="00EF1B4D" w:rsidRPr="00B1429C" w:rsidRDefault="00EF1B4D"/>
    <w:p w14:paraId="21D3D301" w14:textId="31786D40" w:rsidR="00B1429C" w:rsidRPr="00B1429C" w:rsidRDefault="00BE1A8D" w:rsidP="00B1429C">
      <w:pPr>
        <w:jc w:val="center"/>
        <w:rPr>
          <w:rFonts w:ascii="宋体" w:eastAsia="宋体" w:hAnsi="宋体"/>
          <w:sz w:val="32"/>
          <w:szCs w:val="32"/>
        </w:rPr>
      </w:pPr>
      <w:r w:rsidRPr="00BE1A8D">
        <w:rPr>
          <w:rFonts w:ascii="宋体" w:eastAsia="宋体" w:hAnsi="宋体" w:hint="eastAsia"/>
          <w:sz w:val="32"/>
          <w:szCs w:val="32"/>
        </w:rPr>
        <w:t>金融硕士（</w:t>
      </w:r>
      <w:r w:rsidRPr="00BE1A8D">
        <w:rPr>
          <w:rFonts w:ascii="宋体" w:eastAsia="宋体" w:hAnsi="宋体"/>
          <w:sz w:val="32"/>
          <w:szCs w:val="32"/>
        </w:rPr>
        <w:t>MF）专业学位研究生培养方案</w:t>
      </w:r>
    </w:p>
    <w:p w14:paraId="3A3BF1B5" w14:textId="28B4792F" w:rsidR="00B1429C" w:rsidRDefault="00B1429C"/>
    <w:p w14:paraId="32DF9DAC"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一、培养目标</w:t>
      </w:r>
    </w:p>
    <w:p w14:paraId="47B09FE2"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培养具备良好的政治思想素质和职业道德素养，充分了解金融理论与实务，系统掌握投融资管理技能、金融交易技术与操作、金融产品设计与定价、财务分析、金融风险管理以及相关领域的知识和技能，具有很强的解决金融实际问题能力的高层次、应用型金融专门人才。</w:t>
      </w:r>
    </w:p>
    <w:p w14:paraId="5DF2771E"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二、研究方向</w:t>
      </w:r>
    </w:p>
    <w:p w14:paraId="39D0A7D2"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1、商业银行创新与管理</w:t>
      </w:r>
    </w:p>
    <w:p w14:paraId="14C2E8AD"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2、资本市场</w:t>
      </w:r>
    </w:p>
    <w:p w14:paraId="1464EFF8"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3、公司金融与理财</w:t>
      </w:r>
    </w:p>
    <w:p w14:paraId="7F56BCA1"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4、国际金融</w:t>
      </w:r>
    </w:p>
    <w:p w14:paraId="3D8F6DE4"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5、金融监管</w:t>
      </w:r>
    </w:p>
    <w:p w14:paraId="427791FA"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6、区域金融</w:t>
      </w:r>
    </w:p>
    <w:p w14:paraId="00280EF9"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三、培养方式</w:t>
      </w:r>
    </w:p>
    <w:p w14:paraId="1BD31032"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课程设置应充分反映金融实践领域对专门人才的知识与素质要求，注重分析能力和创造性解决实际问题能力的培养。教学方法要重视运用课堂讲授、团队学习、案例分析、现场研究、模拟训练等方法。金融硕士专业学位培养过程须突出金融实践导向，加强实践教学，实践教学时间不少于半年。</w:t>
      </w:r>
    </w:p>
    <w:p w14:paraId="0B210850"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研究生的培养方式采取校内外双导师负责制。研究生导师由本学院的导师和联合培养单位的实际经验丰富的高级职称人员构成。以校内导师指导为主，校外导师参与实践过程、项目研究、课程与论文等多个环节的指导工作。</w:t>
      </w:r>
    </w:p>
    <w:p w14:paraId="0D48A521"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金融硕士专业学位研究生的专任教师应具有较强的专业实践能力和教育教学水平。重视吸收来自金融实践领域的联合培养单位的专业人员承担专业课程教学任务，构建“双师型”的师资结构。</w:t>
      </w:r>
    </w:p>
    <w:p w14:paraId="36F3A214"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四、学制</w:t>
      </w:r>
    </w:p>
    <w:p w14:paraId="3B9DB0DB"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金融硕士专业学位培养时间</w:t>
      </w:r>
      <w:r w:rsidRPr="00BE1A8D">
        <w:rPr>
          <w:rFonts w:ascii="宋体" w:eastAsia="宋体" w:hAnsi="宋体"/>
          <w:sz w:val="28"/>
          <w:szCs w:val="28"/>
        </w:rPr>
        <w:t>2年，其中1年为课程学习时间。</w:t>
      </w:r>
    </w:p>
    <w:p w14:paraId="2B96A85D"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五、课程设置</w:t>
      </w:r>
    </w:p>
    <w:p w14:paraId="4DC5B35A"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课程分公共基础课（必修）、专业必修课和专业选修课三大类。</w:t>
      </w:r>
    </w:p>
    <w:p w14:paraId="347E6D0C"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（一）公共基础课课：</w:t>
      </w:r>
    </w:p>
    <w:p w14:paraId="712A27AB" w14:textId="1B557EBC"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1、中国特色社会主义理论与实践研究2学分</w:t>
      </w:r>
    </w:p>
    <w:p w14:paraId="7940C1CE" w14:textId="63A0EED2"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2、硕士综合英语4学分</w:t>
      </w:r>
    </w:p>
    <w:p w14:paraId="4457F140" w14:textId="3AB8D6B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3、马克思主义与社会科学方法论1学分</w:t>
      </w:r>
    </w:p>
    <w:p w14:paraId="7CCEF000" w14:textId="11882AA4"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公共基础课合计</w:t>
      </w:r>
      <w:r w:rsidRPr="00BE1A8D">
        <w:rPr>
          <w:rFonts w:ascii="宋体" w:eastAsia="宋体" w:hAnsi="宋体"/>
          <w:sz w:val="28"/>
          <w:szCs w:val="28"/>
        </w:rPr>
        <w:t>7学分</w:t>
      </w:r>
    </w:p>
    <w:p w14:paraId="29DA2258" w14:textId="2FD89F3C" w:rsidR="00BE1A8D" w:rsidRPr="00BE1A8D" w:rsidRDefault="00BE1A8D" w:rsidP="00BE1A8D">
      <w:pPr>
        <w:ind w:firstLineChars="253" w:firstLine="708"/>
        <w:rPr>
          <w:rFonts w:ascii="宋体" w:eastAsia="宋体" w:hAnsi="宋体"/>
          <w:sz w:val="28"/>
          <w:szCs w:val="28"/>
        </w:rPr>
      </w:pPr>
    </w:p>
    <w:p w14:paraId="306444A4"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（二）专业必修课：</w:t>
      </w:r>
    </w:p>
    <w:p w14:paraId="11AA03AC" w14:textId="62524353"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lastRenderedPageBreak/>
        <w:t>4、货币金融理论与政策3学分</w:t>
      </w:r>
    </w:p>
    <w:p w14:paraId="425BAAE3" w14:textId="6FF604B4"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5、国际金融管理与实践2学分</w:t>
      </w:r>
    </w:p>
    <w:p w14:paraId="51B7924B" w14:textId="1BFA0583"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6、中级公司金融2学分</w:t>
      </w:r>
    </w:p>
    <w:p w14:paraId="0A741A32" w14:textId="47F8364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7、金融机构与市场2学分</w:t>
      </w:r>
    </w:p>
    <w:p w14:paraId="231DA690" w14:textId="3F1C70EB"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8、商业银行经营与管理2学分</w:t>
      </w:r>
    </w:p>
    <w:p w14:paraId="438BB735" w14:textId="0665C7C9"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9、金融风险管理3学分</w:t>
      </w:r>
    </w:p>
    <w:p w14:paraId="62003E60" w14:textId="13EB0E5D"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专业必修课合计</w:t>
      </w:r>
      <w:r w:rsidRPr="00BE1A8D">
        <w:rPr>
          <w:rFonts w:ascii="宋体" w:eastAsia="宋体" w:hAnsi="宋体"/>
          <w:sz w:val="28"/>
          <w:szCs w:val="28"/>
        </w:rPr>
        <w:t>14学分</w:t>
      </w:r>
    </w:p>
    <w:p w14:paraId="3E65C5B6"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前两项共计</w:t>
      </w:r>
      <w:r w:rsidRPr="00BE1A8D">
        <w:rPr>
          <w:rFonts w:ascii="宋体" w:eastAsia="宋体" w:hAnsi="宋体"/>
          <w:sz w:val="28"/>
          <w:szCs w:val="28"/>
        </w:rPr>
        <w:t>21学分</w:t>
      </w:r>
    </w:p>
    <w:p w14:paraId="615EB2FA"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（三）专业选修课</w:t>
      </w:r>
    </w:p>
    <w:p w14:paraId="09051530" w14:textId="05172924"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10、投资理论与实务2学分</w:t>
      </w:r>
    </w:p>
    <w:p w14:paraId="230A8949" w14:textId="70A388C4"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11、投资学2学分</w:t>
      </w:r>
    </w:p>
    <w:p w14:paraId="66418DDC" w14:textId="6E5C252B"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12、财务会计专题2学分</w:t>
      </w:r>
    </w:p>
    <w:p w14:paraId="7BEC10AD" w14:textId="4AC40F0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13、投资银行理论与实务2学分</w:t>
      </w:r>
    </w:p>
    <w:p w14:paraId="2A48C24C" w14:textId="39CA7FA1"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14、理财学2学分</w:t>
      </w:r>
    </w:p>
    <w:p w14:paraId="4452A46B" w14:textId="2F01B415"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15、金融衍生工具2学分</w:t>
      </w:r>
    </w:p>
    <w:p w14:paraId="317A694D" w14:textId="3C465AD7"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16、金融监管2学分</w:t>
      </w:r>
    </w:p>
    <w:p w14:paraId="40266CF0" w14:textId="479A5F50"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17、保险理论与实务2学分</w:t>
      </w:r>
    </w:p>
    <w:p w14:paraId="1D2E1559" w14:textId="330F5F75"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18、金融理论前沿2学分</w:t>
      </w:r>
    </w:p>
    <w:p w14:paraId="0BF5A8DD" w14:textId="033AE173"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19、区域金融理论2学分</w:t>
      </w:r>
    </w:p>
    <w:p w14:paraId="6A5BDC3B" w14:textId="38136BF4" w:rsidR="00BE1A8D" w:rsidRPr="00BE1A8D" w:rsidRDefault="00BE1A8D" w:rsidP="00BE1A8D">
      <w:pPr>
        <w:ind w:firstLineChars="253" w:firstLine="708"/>
        <w:rPr>
          <w:rFonts w:ascii="宋体" w:eastAsia="宋体" w:hAnsi="宋体"/>
          <w:sz w:val="28"/>
          <w:szCs w:val="28"/>
        </w:rPr>
      </w:pPr>
      <w:r w:rsidRPr="00BE1A8D">
        <w:rPr>
          <w:rFonts w:ascii="宋体" w:eastAsia="宋体" w:hAnsi="宋体"/>
          <w:sz w:val="28"/>
          <w:szCs w:val="28"/>
        </w:rPr>
        <w:t>选修课总计20学分</w:t>
      </w:r>
    </w:p>
    <w:p w14:paraId="611CBB3E" w14:textId="7A767E42"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社会实践和研讨</w:t>
      </w:r>
      <w:r w:rsidRPr="00BE1A8D">
        <w:rPr>
          <w:rFonts w:ascii="宋体" w:eastAsia="宋体" w:hAnsi="宋体"/>
          <w:sz w:val="28"/>
          <w:szCs w:val="28"/>
        </w:rPr>
        <w:t>4学分</w:t>
      </w:r>
    </w:p>
    <w:p w14:paraId="26482460"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金融硕士专业研究生应根据专业方向参加社会实践活动，社会活动的形式包括社会调查、专题研究、专业实习等，并将开设反映学科前沿和改革实践的系列讲座，每位学生至少参加</w:t>
      </w:r>
      <w:r w:rsidRPr="00BE1A8D">
        <w:rPr>
          <w:rFonts w:ascii="宋体" w:eastAsia="宋体" w:hAnsi="宋体"/>
          <w:sz w:val="28"/>
          <w:szCs w:val="28"/>
        </w:rPr>
        <w:t>4次金融专题讲座或研讨班。</w:t>
      </w:r>
    </w:p>
    <w:p w14:paraId="38A82B1A"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六、成绩考核</w:t>
      </w:r>
    </w:p>
    <w:p w14:paraId="268A4F13"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公共基础课、专业必修课、选修课必须达到</w:t>
      </w:r>
      <w:r w:rsidRPr="00BE1A8D">
        <w:rPr>
          <w:rFonts w:ascii="宋体" w:eastAsia="宋体" w:hAnsi="宋体"/>
          <w:sz w:val="28"/>
          <w:szCs w:val="28"/>
        </w:rPr>
        <w:t>60分才能取得学分。公共基础课和专业必修课课程一律闭卷考试，其他课程可采取开卷方式，如通过课堂讨论、抽查笔记、小论文等方式，但考核成绩必须结合平时成绩综合评定，如有必要可采用闭卷考试。专业实习必须提交实习报告，由指导教师评定成绩。</w:t>
      </w:r>
    </w:p>
    <w:p w14:paraId="23086272"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七、学位论文与论文答辩</w:t>
      </w:r>
    </w:p>
    <w:p w14:paraId="13B58163"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金融硕士专业学位按培养方案修完规定的全部课程，并通过考试，成绩合格，完成专业实习，至少修满</w:t>
      </w:r>
      <w:r w:rsidRPr="00BE1A8D">
        <w:rPr>
          <w:rFonts w:ascii="宋体" w:eastAsia="宋体" w:hAnsi="宋体"/>
          <w:sz w:val="28"/>
          <w:szCs w:val="28"/>
        </w:rPr>
        <w:t>35学分后，才能申请撰写学位论文，进行论文答辩。</w:t>
      </w:r>
    </w:p>
    <w:p w14:paraId="353181DE" w14:textId="2ED69799" w:rsidR="00BE1A8D" w:rsidRPr="00BE1A8D" w:rsidRDefault="00BE1A8D" w:rsidP="00BE1A8D">
      <w:pPr>
        <w:ind w:firstLineChars="253" w:firstLine="708"/>
        <w:rPr>
          <w:rFonts w:ascii="宋体" w:eastAsia="宋体" w:hAnsi="宋体"/>
          <w:sz w:val="28"/>
          <w:szCs w:val="28"/>
        </w:rPr>
      </w:pPr>
    </w:p>
    <w:p w14:paraId="474FDF64"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（一）论文开题</w:t>
      </w:r>
    </w:p>
    <w:p w14:paraId="5E39CC94"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金融硕士专业学位毕业论文的选题可根据专业方向确定，也可结合现实在导师指导下由本人自行提出详</w:t>
      </w:r>
      <w:r w:rsidRPr="00BE1A8D">
        <w:rPr>
          <w:rFonts w:ascii="宋体" w:eastAsia="宋体" w:hAnsi="宋体" w:hint="eastAsia"/>
          <w:sz w:val="28"/>
          <w:szCs w:val="28"/>
        </w:rPr>
        <w:lastRenderedPageBreak/>
        <w:t>细提纲并填写开题报告，经导师组评议通过后，方可进行论文的调查研究和撰写工作。学位论文须与金融实践紧密结合，体现学生运用金融及相关学科理论、知识和方法分析、解决金融工程实际问题的能力。论文形式可以是理论研究、调研报告、案例分析、毕业设计等。</w:t>
      </w:r>
    </w:p>
    <w:p w14:paraId="6A6A2E04" w14:textId="77777777" w:rsidR="00BE1A8D" w:rsidRPr="00BE1A8D"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（二）论文答辩</w:t>
      </w:r>
    </w:p>
    <w:p w14:paraId="41A4C2AE" w14:textId="06745102" w:rsidR="00B1429C" w:rsidRPr="00B1429C" w:rsidRDefault="00BE1A8D" w:rsidP="00BE1A8D">
      <w:pPr>
        <w:ind w:firstLineChars="253" w:firstLine="708"/>
        <w:rPr>
          <w:rFonts w:ascii="宋体" w:eastAsia="宋体" w:hAnsi="宋体"/>
          <w:sz w:val="28"/>
          <w:szCs w:val="28"/>
        </w:rPr>
      </w:pPr>
      <w:r w:rsidRPr="00BE1A8D">
        <w:rPr>
          <w:rFonts w:ascii="宋体" w:eastAsia="宋体" w:hAnsi="宋体" w:hint="eastAsia"/>
          <w:sz w:val="28"/>
          <w:szCs w:val="28"/>
        </w:rPr>
        <w:t>金融硕士专业学位毕业论文经指导教师签字通过后需提交盲审，</w:t>
      </w:r>
      <w:proofErr w:type="gramStart"/>
      <w:r w:rsidRPr="00BE1A8D">
        <w:rPr>
          <w:rFonts w:ascii="宋体" w:eastAsia="宋体" w:hAnsi="宋体" w:hint="eastAsia"/>
          <w:sz w:val="28"/>
          <w:szCs w:val="28"/>
        </w:rPr>
        <w:t>盲审通过</w:t>
      </w:r>
      <w:proofErr w:type="gramEnd"/>
      <w:r w:rsidRPr="00BE1A8D">
        <w:rPr>
          <w:rFonts w:ascii="宋体" w:eastAsia="宋体" w:hAnsi="宋体" w:hint="eastAsia"/>
          <w:sz w:val="28"/>
          <w:szCs w:val="28"/>
        </w:rPr>
        <w:t>者，方可获准参加正式答辩。学位论文答辩形式可多种多样，答辩成员中须有金融实践领域具有专业技术职务的专家。答辩实行导师回避制。论文答辩不及格者，不得授予硕士学位。</w:t>
      </w:r>
    </w:p>
    <w:p w14:paraId="68CD60E7" w14:textId="6E30A686" w:rsidR="00B1429C" w:rsidRPr="00B1429C" w:rsidRDefault="00B1429C" w:rsidP="00B1429C">
      <w:pPr>
        <w:rPr>
          <w:rFonts w:ascii="宋体" w:eastAsia="宋体" w:hAnsi="宋体"/>
          <w:sz w:val="28"/>
          <w:szCs w:val="28"/>
        </w:rPr>
      </w:pPr>
    </w:p>
    <w:p w14:paraId="273A8DF1" w14:textId="77777777" w:rsidR="00BE1A8D" w:rsidRPr="00BE1A8D" w:rsidRDefault="00BE1A8D" w:rsidP="00BE1A8D">
      <w:pPr>
        <w:rPr>
          <w:rFonts w:ascii="宋体" w:eastAsia="宋体" w:hAnsi="宋体"/>
          <w:sz w:val="28"/>
          <w:szCs w:val="28"/>
        </w:rPr>
      </w:pPr>
      <w:r w:rsidRPr="00BE1A8D">
        <w:rPr>
          <w:rFonts w:ascii="宋体" w:eastAsia="宋体" w:hAnsi="宋体" w:hint="eastAsia"/>
          <w:sz w:val="28"/>
          <w:szCs w:val="28"/>
        </w:rPr>
        <w:t>金融硕士（</w:t>
      </w:r>
      <w:r w:rsidRPr="00BE1A8D">
        <w:rPr>
          <w:rFonts w:ascii="宋体" w:eastAsia="宋体" w:hAnsi="宋体"/>
          <w:sz w:val="28"/>
          <w:szCs w:val="28"/>
        </w:rPr>
        <w:t>MF）专业学位研究生教学计划</w:t>
      </w:r>
    </w:p>
    <w:p w14:paraId="2E99BE0B" w14:textId="0C640C94" w:rsidR="00B1429C" w:rsidRPr="00BB47A1" w:rsidRDefault="00BE1A8D" w:rsidP="00BE1A8D">
      <w:pPr>
        <w:rPr>
          <w:rFonts w:ascii="宋体" w:eastAsia="宋体" w:hAnsi="宋体"/>
          <w:sz w:val="28"/>
          <w:szCs w:val="28"/>
        </w:rPr>
      </w:pPr>
      <w:r w:rsidRPr="00BE1A8D">
        <w:rPr>
          <w:rFonts w:ascii="宋体" w:eastAsia="宋体" w:hAnsi="宋体" w:hint="eastAsia"/>
          <w:sz w:val="28"/>
          <w:szCs w:val="28"/>
        </w:rPr>
        <w:t>专业代码：</w:t>
      </w:r>
      <w:r w:rsidRPr="00BE1A8D">
        <w:rPr>
          <w:rFonts w:ascii="宋体" w:eastAsia="宋体" w:hAnsi="宋体"/>
          <w:sz w:val="28"/>
          <w:szCs w:val="28"/>
        </w:rPr>
        <w:t>025100</w:t>
      </w:r>
    </w:p>
    <w:p w14:paraId="6BC68845" w14:textId="3A66C1BE" w:rsidR="00B1429C" w:rsidRDefault="00B1429C"/>
    <w:tbl>
      <w:tblPr>
        <w:tblW w:w="5000" w:type="pct"/>
        <w:shd w:val="clear" w:color="auto" w:fill="FFFFFF"/>
        <w:tblCellMar>
          <w:left w:w="0" w:type="dxa"/>
          <w:right w:w="0" w:type="dxa"/>
        </w:tblCellMar>
        <w:tblLook w:val="04A0" w:firstRow="1" w:lastRow="0" w:firstColumn="1" w:lastColumn="0" w:noHBand="0" w:noVBand="1"/>
      </w:tblPr>
      <w:tblGrid>
        <w:gridCol w:w="661"/>
        <w:gridCol w:w="529"/>
        <w:gridCol w:w="1057"/>
        <w:gridCol w:w="4494"/>
        <w:gridCol w:w="661"/>
        <w:gridCol w:w="529"/>
        <w:gridCol w:w="529"/>
        <w:gridCol w:w="925"/>
        <w:gridCol w:w="925"/>
        <w:gridCol w:w="1454"/>
        <w:gridCol w:w="1454"/>
      </w:tblGrid>
      <w:tr w:rsidR="00BE1A8D" w:rsidRPr="00BE1A8D" w14:paraId="39DACFE2" w14:textId="77777777" w:rsidTr="00BE1A8D">
        <w:trPr>
          <w:trHeight w:val="848"/>
        </w:trPr>
        <w:tc>
          <w:tcPr>
            <w:tcW w:w="450"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CE764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分类</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9B4DE5" w14:textId="7982988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课程编码</w:t>
            </w:r>
          </w:p>
        </w:tc>
        <w:tc>
          <w:tcPr>
            <w:tcW w:w="16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07F91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课程名称</w:t>
            </w:r>
          </w:p>
        </w:tc>
        <w:tc>
          <w:tcPr>
            <w:tcW w:w="2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EC02A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学分</w:t>
            </w:r>
          </w:p>
        </w:tc>
        <w:tc>
          <w:tcPr>
            <w:tcW w:w="2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2FBBC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总学时</w:t>
            </w:r>
          </w:p>
        </w:tc>
        <w:tc>
          <w:tcPr>
            <w:tcW w:w="2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44AB9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周学时</w:t>
            </w:r>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76E2C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开课学期</w:t>
            </w:r>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E76F0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考核方式</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9B0B86"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proofErr w:type="gramStart"/>
            <w:r w:rsidRPr="00BE1A8D">
              <w:rPr>
                <w:rFonts w:ascii="Tahoma" w:eastAsia="宋体" w:hAnsi="Tahoma" w:cs="Tahoma"/>
                <w:color w:val="444444"/>
                <w:kern w:val="0"/>
                <w:sz w:val="18"/>
                <w:szCs w:val="18"/>
              </w:rPr>
              <w:t>授课系部</w:t>
            </w:r>
            <w:proofErr w:type="gramEnd"/>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16056B"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444444"/>
                <w:kern w:val="0"/>
                <w:sz w:val="18"/>
                <w:szCs w:val="18"/>
              </w:rPr>
              <w:t>备注</w:t>
            </w:r>
          </w:p>
        </w:tc>
      </w:tr>
      <w:tr w:rsidR="00BE1A8D" w:rsidRPr="00BE1A8D" w14:paraId="61F40409" w14:textId="77777777" w:rsidTr="00BE1A8D">
        <w:trPr>
          <w:trHeight w:val="549"/>
        </w:trPr>
        <w:tc>
          <w:tcPr>
            <w:tcW w:w="25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65EE3D" w14:textId="5BBC1AE5"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必修课课</w:t>
            </w:r>
            <w:r w:rsidRPr="00BE1A8D">
              <w:rPr>
                <w:rFonts w:ascii="Tahoma" w:eastAsia="宋体" w:hAnsi="Tahoma" w:cs="Tahoma"/>
                <w:color w:val="444444"/>
                <w:kern w:val="0"/>
                <w:sz w:val="18"/>
                <w:szCs w:val="18"/>
              </w:rPr>
              <w:t>21</w:t>
            </w:r>
            <w:r w:rsidRPr="00BE1A8D">
              <w:rPr>
                <w:rFonts w:ascii="Tahoma" w:eastAsia="宋体" w:hAnsi="Tahoma" w:cs="Tahoma"/>
                <w:color w:val="444444"/>
                <w:kern w:val="0"/>
                <w:sz w:val="18"/>
                <w:szCs w:val="18"/>
              </w:rPr>
              <w:t>学分</w:t>
            </w:r>
          </w:p>
        </w:tc>
        <w:tc>
          <w:tcPr>
            <w:tcW w:w="20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716B88" w14:textId="1A64DB9F" w:rsidR="00BE1A8D" w:rsidRPr="00BE1A8D" w:rsidRDefault="00BE1A8D" w:rsidP="00BE1A8D">
            <w:pPr>
              <w:widowControl/>
              <w:wordWrap w:val="0"/>
              <w:spacing w:line="240" w:lineRule="atLeast"/>
              <w:jc w:val="center"/>
              <w:rPr>
                <w:rFonts w:ascii="Tahoma" w:eastAsia="宋体" w:hAnsi="Tahoma" w:cs="Tahoma"/>
                <w:color w:val="444444"/>
                <w:kern w:val="0"/>
                <w:szCs w:val="21"/>
              </w:rPr>
            </w:pPr>
            <w:r w:rsidRPr="00BE1A8D">
              <w:rPr>
                <w:rFonts w:ascii="Tahoma" w:eastAsia="宋体" w:hAnsi="Tahoma" w:cs="Tahoma"/>
                <w:color w:val="444444"/>
                <w:kern w:val="0"/>
                <w:sz w:val="18"/>
                <w:szCs w:val="18"/>
              </w:rPr>
              <w:t>公共基础课</w:t>
            </w:r>
            <w:r w:rsidRPr="00BE1A8D">
              <w:rPr>
                <w:rFonts w:ascii="Tahoma" w:eastAsia="宋体" w:hAnsi="Tahoma" w:cs="Tahoma"/>
                <w:color w:val="444444"/>
                <w:kern w:val="0"/>
                <w:sz w:val="18"/>
                <w:szCs w:val="18"/>
              </w:rPr>
              <w:t>7</w:t>
            </w:r>
            <w:r w:rsidRPr="00BE1A8D">
              <w:rPr>
                <w:rFonts w:ascii="Tahoma" w:eastAsia="宋体" w:hAnsi="Tahoma" w:cs="Tahoma"/>
                <w:color w:val="444444"/>
                <w:kern w:val="0"/>
                <w:sz w:val="18"/>
                <w:szCs w:val="18"/>
              </w:rPr>
              <w:t>学分</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37244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ML2004</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77E33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中国特色社会主义理论与实践研究</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5518B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A0F21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30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73B07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3</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44F4D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716D0B"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70F46C"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马列部</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5D9A44" w14:textId="2A4A1B56"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2A9A6060"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4BA53C"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160ED214"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9E169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WY2014</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D58A1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商务英语综合教程（一）</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1EF85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29B14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36</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82563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31838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8E75F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50E5AA"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外国语学院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878F89" w14:textId="78076B09"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387891D4"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700209"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70B1832"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ABF2A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WY2015</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87FAB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商务英语综合教程（二）</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AAB58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02842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36</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93FDD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7F0E9B"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60374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34CED8"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外国语学院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01592" w14:textId="5A60B1A2"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5C4250B9" w14:textId="77777777" w:rsidTr="00BE1A8D">
        <w:trPr>
          <w:trHeight w:val="54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7F3B60"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20157EAF"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A9CAE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ML2005</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D8E24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马克思主义与社会科学方法论</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6D445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E2835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D53EA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D1605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6AA58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5C17E8"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马列部</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0E1B82" w14:textId="4FA22C55"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3D346442"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1FA4D7" w14:textId="77777777" w:rsidR="00BE1A8D" w:rsidRPr="00BE1A8D" w:rsidRDefault="00BE1A8D" w:rsidP="00BE1A8D">
            <w:pPr>
              <w:widowControl/>
              <w:jc w:val="left"/>
              <w:rPr>
                <w:rFonts w:ascii="Tahoma" w:eastAsia="宋体" w:hAnsi="Tahoma" w:cs="Tahoma"/>
                <w:color w:val="444444"/>
                <w:kern w:val="0"/>
                <w:szCs w:val="21"/>
              </w:rPr>
            </w:pPr>
          </w:p>
        </w:tc>
        <w:tc>
          <w:tcPr>
            <w:tcW w:w="20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03D1EE" w14:textId="68AE85F2"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专业必修课</w:t>
            </w:r>
            <w:r w:rsidRPr="00BE1A8D">
              <w:rPr>
                <w:rFonts w:ascii="Tahoma" w:eastAsia="宋体" w:hAnsi="Tahoma" w:cs="Tahoma"/>
                <w:color w:val="444444"/>
                <w:kern w:val="0"/>
                <w:sz w:val="18"/>
                <w:szCs w:val="18"/>
              </w:rPr>
              <w:t>14</w:t>
            </w:r>
            <w:r w:rsidRPr="00BE1A8D">
              <w:rPr>
                <w:rFonts w:ascii="Tahoma" w:eastAsia="宋体" w:hAnsi="Tahoma" w:cs="Tahoma"/>
                <w:color w:val="444444"/>
                <w:kern w:val="0"/>
                <w:sz w:val="18"/>
                <w:szCs w:val="18"/>
              </w:rPr>
              <w:t>学分</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995AD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JR2026</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3E0F7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货币金融理论与政策</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E3444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BF5D0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03AA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B69DC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CF292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6B1CAE"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3812C1" w14:textId="0A5578F2"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645E117B"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F7126B"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2A8A4F91"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1B261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JR2027</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915E4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国际金融管理与实践</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DBAC4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D06B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A8970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B749C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9532F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16DB2"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6A2D70" w14:textId="0C0DA233"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2A647E5C"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D175D3"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9A1E6D6"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2168A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JR2028</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B8780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中级公司金融</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E1889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4135A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B562F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A1DF2B"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FB34C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23E2E5"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C46507" w14:textId="0214408B"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72B7074F"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504777"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5ED29B56"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9E1CDD"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JR2029</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C6365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金融机构与市场</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1F31D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C90D6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15117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4D1B7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2468E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D8F4FA"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3B0838" w14:textId="5DFCC8F2"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6A20BC72"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2A06007"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D90CFFA"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875EC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JR2030</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4C7BB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商业银行经营与管理</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22F5B"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4FB23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74C0F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1CC86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037F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AFA278"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F8C816" w14:textId="45B5CB73"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1FB40AC3"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EA540F"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2CA7737B"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05F9B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JR2031</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49DEFD"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金融风险管理</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FC4CE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1F0E3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7114B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34AE4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0EFF6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683CC6"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F06088" w14:textId="6A4ADBF5" w:rsidR="00BE1A8D" w:rsidRPr="00BE1A8D" w:rsidRDefault="00BE1A8D" w:rsidP="00BE1A8D">
            <w:pPr>
              <w:widowControl/>
              <w:wordWrap w:val="0"/>
              <w:spacing w:line="420" w:lineRule="atLeast"/>
              <w:ind w:leftChars="-11" w:left="4" w:hangingChars="13" w:hanging="27"/>
              <w:rPr>
                <w:rFonts w:ascii="Tahoma" w:eastAsia="宋体" w:hAnsi="Tahoma" w:cs="Tahoma"/>
                <w:color w:val="444444"/>
                <w:kern w:val="0"/>
                <w:szCs w:val="21"/>
              </w:rPr>
            </w:pPr>
          </w:p>
        </w:tc>
      </w:tr>
      <w:tr w:rsidR="00BE1A8D" w:rsidRPr="00BE1A8D" w14:paraId="1015490C" w14:textId="77777777" w:rsidTr="00BE1A8D">
        <w:trPr>
          <w:trHeight w:val="450"/>
        </w:trPr>
        <w:tc>
          <w:tcPr>
            <w:tcW w:w="25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0DAE02" w14:textId="24C80C8E"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选修课</w:t>
            </w:r>
            <w:r w:rsidRPr="00BE1A8D">
              <w:rPr>
                <w:rFonts w:ascii="Tahoma" w:eastAsia="宋体" w:hAnsi="Tahoma" w:cs="Tahoma"/>
                <w:color w:val="444444"/>
                <w:kern w:val="0"/>
                <w:sz w:val="18"/>
                <w:szCs w:val="18"/>
              </w:rPr>
              <w:t>20</w:t>
            </w:r>
            <w:r w:rsidRPr="00BE1A8D">
              <w:rPr>
                <w:rFonts w:ascii="Tahoma" w:eastAsia="宋体" w:hAnsi="Tahoma" w:cs="Tahoma"/>
                <w:color w:val="444444"/>
                <w:kern w:val="0"/>
                <w:sz w:val="18"/>
                <w:szCs w:val="18"/>
              </w:rPr>
              <w:t>学分</w:t>
            </w:r>
          </w:p>
        </w:tc>
        <w:tc>
          <w:tcPr>
            <w:tcW w:w="20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D97464" w14:textId="663A8016"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专业选修课</w:t>
            </w:r>
            <w:r w:rsidRPr="00BE1A8D">
              <w:rPr>
                <w:rFonts w:ascii="Tahoma" w:eastAsia="宋体" w:hAnsi="Tahoma" w:cs="Tahoma"/>
                <w:color w:val="444444"/>
                <w:kern w:val="0"/>
                <w:sz w:val="18"/>
                <w:szCs w:val="18"/>
              </w:rPr>
              <w:t>20</w:t>
            </w:r>
            <w:r w:rsidRPr="00BE1A8D">
              <w:rPr>
                <w:rFonts w:ascii="Tahoma" w:eastAsia="宋体" w:hAnsi="Tahoma" w:cs="Tahoma"/>
                <w:color w:val="444444"/>
                <w:kern w:val="0"/>
                <w:sz w:val="18"/>
                <w:szCs w:val="18"/>
              </w:rPr>
              <w:t>学分</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530F3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JR2001</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7BD0F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r w:rsidRPr="00BE1A8D">
              <w:rPr>
                <w:rFonts w:ascii="Tahoma" w:eastAsia="宋体" w:hAnsi="Tahoma" w:cs="Tahoma"/>
                <w:color w:val="000000"/>
                <w:kern w:val="0"/>
                <w:sz w:val="18"/>
                <w:szCs w:val="18"/>
              </w:rPr>
              <w:t>投资理论专题研究</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0BF2E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72BF6B"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63F7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5E938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4E51D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A6C779"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3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3F5E65"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10</w:t>
            </w:r>
            <w:r w:rsidRPr="00BE1A8D">
              <w:rPr>
                <w:rFonts w:ascii="Tahoma" w:eastAsia="宋体" w:hAnsi="Tahoma" w:cs="Tahoma"/>
                <w:color w:val="000000"/>
                <w:kern w:val="0"/>
                <w:sz w:val="18"/>
                <w:szCs w:val="18"/>
              </w:rPr>
              <w:t>选</w:t>
            </w:r>
            <w:r w:rsidRPr="00BE1A8D">
              <w:rPr>
                <w:rFonts w:ascii="Tahoma" w:eastAsia="宋体" w:hAnsi="Tahoma" w:cs="Tahoma"/>
                <w:color w:val="000000"/>
                <w:kern w:val="0"/>
                <w:sz w:val="18"/>
                <w:szCs w:val="18"/>
              </w:rPr>
              <w:t>5</w:t>
            </w:r>
          </w:p>
        </w:tc>
      </w:tr>
      <w:tr w:rsidR="00BE1A8D" w:rsidRPr="00BE1A8D" w14:paraId="5090EF6F" w14:textId="77777777" w:rsidTr="00BE1A8D">
        <w:trPr>
          <w:trHeight w:val="38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A00AAF"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65C68D53"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289A5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JR2015</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B6F39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r w:rsidRPr="00BE1A8D">
              <w:rPr>
                <w:rFonts w:ascii="Tahoma" w:eastAsia="宋体" w:hAnsi="Tahoma" w:cs="Tahoma"/>
                <w:color w:val="000000"/>
                <w:kern w:val="0"/>
                <w:sz w:val="18"/>
                <w:szCs w:val="18"/>
              </w:rPr>
              <w:t>投资学</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ABFA3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A9F9D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E1ED3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554CF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76636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CFCDFF"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3D1E5ADF"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51821221"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3E47AB"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67505CDC"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0759C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KJ2002</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0C432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w:t>
            </w:r>
            <w:r w:rsidRPr="00BE1A8D">
              <w:rPr>
                <w:rFonts w:ascii="Tahoma" w:eastAsia="宋体" w:hAnsi="Tahoma" w:cs="Tahoma"/>
                <w:color w:val="000000"/>
                <w:kern w:val="0"/>
                <w:sz w:val="18"/>
                <w:szCs w:val="18"/>
              </w:rPr>
              <w:t>财务会计专题</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78B51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C7F43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F1D3E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5B158B"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563A1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FE23A5"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会计学院</w:t>
            </w:r>
          </w:p>
        </w:tc>
        <w:tc>
          <w:tcPr>
            <w:tcW w:w="0" w:type="auto"/>
            <w:vMerge/>
            <w:tcBorders>
              <w:top w:val="nil"/>
              <w:left w:val="nil"/>
              <w:bottom w:val="single" w:sz="8" w:space="0" w:color="auto"/>
              <w:right w:val="single" w:sz="8" w:space="0" w:color="auto"/>
            </w:tcBorders>
            <w:shd w:val="clear" w:color="auto" w:fill="FFFFFF"/>
            <w:vAlign w:val="center"/>
            <w:hideMark/>
          </w:tcPr>
          <w:p w14:paraId="70AA54BF"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0873B34B"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FE67D0"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BE158A7"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12BA1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JR2007</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9B96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r w:rsidRPr="00BE1A8D">
              <w:rPr>
                <w:rFonts w:ascii="Tahoma" w:eastAsia="宋体" w:hAnsi="Tahoma" w:cs="Tahoma"/>
                <w:color w:val="000000"/>
                <w:kern w:val="0"/>
                <w:sz w:val="18"/>
                <w:szCs w:val="18"/>
              </w:rPr>
              <w:t>投资银行理论与实务</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CA955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CFD3E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0AEE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22B3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815E7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10A6AA"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47D66F2C"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277DC9D5" w14:textId="77777777" w:rsidTr="00BE1A8D">
        <w:trPr>
          <w:trHeight w:val="4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B20296"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1D1A1321"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5C9C4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JR2032</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E4079D"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5</w:t>
            </w:r>
            <w:r w:rsidRPr="00BE1A8D">
              <w:rPr>
                <w:rFonts w:ascii="Tahoma" w:eastAsia="宋体" w:hAnsi="Tahoma" w:cs="Tahoma"/>
                <w:color w:val="000000"/>
                <w:kern w:val="0"/>
                <w:sz w:val="18"/>
                <w:szCs w:val="18"/>
              </w:rPr>
              <w:t>金融理财学</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04F83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B40CB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585FB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5C889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0903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必选</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D8C6B9"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244C8B03"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542B88B3" w14:textId="77777777" w:rsidTr="00BE1A8D">
        <w:trPr>
          <w:trHeight w:val="4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FB4BEC2"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7406CBCD"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C5619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JR2033</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3CFFAD"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6</w:t>
            </w:r>
            <w:r w:rsidRPr="00BE1A8D">
              <w:rPr>
                <w:rFonts w:ascii="Tahoma" w:eastAsia="宋体" w:hAnsi="Tahoma" w:cs="Tahoma"/>
                <w:color w:val="000000"/>
                <w:kern w:val="0"/>
                <w:sz w:val="18"/>
                <w:szCs w:val="18"/>
              </w:rPr>
              <w:t>金融监管</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2936F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2E4E2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797028"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092A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96447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CD6D8F"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2BF0E91B"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3702E700"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5281757"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E14360E"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6A7B9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JR2006</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136AA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7</w:t>
            </w:r>
            <w:r w:rsidRPr="00BE1A8D">
              <w:rPr>
                <w:rFonts w:ascii="Tahoma" w:eastAsia="宋体" w:hAnsi="Tahoma" w:cs="Tahoma"/>
                <w:color w:val="000000"/>
                <w:kern w:val="0"/>
                <w:sz w:val="18"/>
                <w:szCs w:val="18"/>
              </w:rPr>
              <w:t>保险理论与实务</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EE6D1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DCEE7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B4370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FB01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02D37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7690B6"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379A56DB"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0FBCE6CD"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64C3DE"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05BADF76"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1B741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JR2034</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41F92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8</w:t>
            </w:r>
            <w:r w:rsidRPr="00BE1A8D">
              <w:rPr>
                <w:rFonts w:ascii="Tahoma" w:eastAsia="宋体" w:hAnsi="Tahoma" w:cs="Tahoma"/>
                <w:color w:val="000000"/>
                <w:kern w:val="0"/>
                <w:sz w:val="18"/>
                <w:szCs w:val="18"/>
              </w:rPr>
              <w:t>金融衍生工具</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00938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278E2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849946"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F8F3F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B4F76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849ADE"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5535E5C7"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6721A9D7"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EF0257"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5839A277"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1A876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JR2035</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CA0C0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9</w:t>
            </w:r>
            <w:r w:rsidRPr="00BE1A8D">
              <w:rPr>
                <w:rFonts w:ascii="Tahoma" w:eastAsia="宋体" w:hAnsi="Tahoma" w:cs="Tahoma"/>
                <w:color w:val="000000"/>
                <w:kern w:val="0"/>
                <w:sz w:val="18"/>
                <w:szCs w:val="18"/>
              </w:rPr>
              <w:t>金融理论前沿</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3D5C6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0F147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91F247"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3</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0852B9"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5A879A"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111DA5"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15AB4924"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22984EEC" w14:textId="77777777" w:rsidTr="00BE1A8D">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7D8D0D" w14:textId="77777777" w:rsidR="00BE1A8D" w:rsidRPr="00BE1A8D" w:rsidRDefault="00BE1A8D" w:rsidP="00BE1A8D">
            <w:pPr>
              <w:widowControl/>
              <w:jc w:val="left"/>
              <w:rPr>
                <w:rFonts w:ascii="Tahoma" w:eastAsia="宋体" w:hAnsi="Tahoma" w:cs="Tahoma"/>
                <w:color w:val="444444"/>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14:paraId="1898ED70" w14:textId="77777777" w:rsidR="00BE1A8D" w:rsidRPr="00BE1A8D" w:rsidRDefault="00BE1A8D" w:rsidP="00BE1A8D">
            <w:pPr>
              <w:widowControl/>
              <w:jc w:val="left"/>
              <w:rPr>
                <w:rFonts w:ascii="Tahoma" w:eastAsia="宋体" w:hAnsi="Tahoma" w:cs="Tahoma"/>
                <w:color w:val="444444"/>
                <w:kern w:val="0"/>
                <w:szCs w:val="21"/>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D9A0A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JR2036</w:t>
            </w:r>
          </w:p>
        </w:tc>
        <w:tc>
          <w:tcPr>
            <w:tcW w:w="1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F40A2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10</w:t>
            </w:r>
            <w:r w:rsidRPr="00BE1A8D">
              <w:rPr>
                <w:rFonts w:ascii="Tahoma" w:eastAsia="宋体" w:hAnsi="Tahoma" w:cs="Tahoma"/>
                <w:color w:val="000000"/>
                <w:kern w:val="0"/>
                <w:sz w:val="18"/>
                <w:szCs w:val="18"/>
              </w:rPr>
              <w:t>区域金融理论</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35F620"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2FE47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20</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5BB371"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4</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FFE193"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2</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7D90FC"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000000"/>
                <w:kern w:val="0"/>
                <w:sz w:val="18"/>
                <w:szCs w:val="18"/>
              </w:rPr>
              <w:t>考查</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FB916" w14:textId="77777777" w:rsidR="00BE1A8D" w:rsidRPr="00BE1A8D" w:rsidRDefault="00BE1A8D" w:rsidP="00BE1A8D">
            <w:pPr>
              <w:widowControl/>
              <w:wordWrap w:val="0"/>
              <w:spacing w:line="420" w:lineRule="atLeast"/>
              <w:ind w:leftChars="-11" w:hangingChars="13" w:hanging="23"/>
              <w:rPr>
                <w:rFonts w:ascii="Tahoma" w:eastAsia="宋体" w:hAnsi="Tahoma" w:cs="Tahoma"/>
                <w:color w:val="444444"/>
                <w:kern w:val="0"/>
                <w:szCs w:val="21"/>
              </w:rPr>
            </w:pPr>
            <w:r w:rsidRPr="00BE1A8D">
              <w:rPr>
                <w:rFonts w:ascii="Tahoma" w:eastAsia="宋体" w:hAnsi="Tahoma" w:cs="Tahoma"/>
                <w:color w:val="000000"/>
                <w:kern w:val="0"/>
                <w:sz w:val="18"/>
                <w:szCs w:val="18"/>
              </w:rPr>
              <w:t>金融学院</w:t>
            </w:r>
          </w:p>
        </w:tc>
        <w:tc>
          <w:tcPr>
            <w:tcW w:w="0" w:type="auto"/>
            <w:vMerge/>
            <w:tcBorders>
              <w:top w:val="nil"/>
              <w:left w:val="nil"/>
              <w:bottom w:val="single" w:sz="8" w:space="0" w:color="auto"/>
              <w:right w:val="single" w:sz="8" w:space="0" w:color="auto"/>
            </w:tcBorders>
            <w:shd w:val="clear" w:color="auto" w:fill="FFFFFF"/>
            <w:vAlign w:val="center"/>
            <w:hideMark/>
          </w:tcPr>
          <w:p w14:paraId="6ADC5AE7" w14:textId="77777777" w:rsidR="00BE1A8D" w:rsidRPr="00BE1A8D" w:rsidRDefault="00BE1A8D" w:rsidP="00BE1A8D">
            <w:pPr>
              <w:widowControl/>
              <w:ind w:leftChars="-11" w:left="4" w:hangingChars="13" w:hanging="27"/>
              <w:jc w:val="left"/>
              <w:rPr>
                <w:rFonts w:ascii="Tahoma" w:eastAsia="宋体" w:hAnsi="Tahoma" w:cs="Tahoma"/>
                <w:color w:val="444444"/>
                <w:kern w:val="0"/>
                <w:szCs w:val="21"/>
              </w:rPr>
            </w:pPr>
          </w:p>
        </w:tc>
      </w:tr>
      <w:tr w:rsidR="00BE1A8D" w:rsidRPr="00BE1A8D" w14:paraId="14AB3CEA" w14:textId="77777777" w:rsidTr="00BE1A8D">
        <w:trPr>
          <w:trHeight w:val="450"/>
        </w:trPr>
        <w:tc>
          <w:tcPr>
            <w:tcW w:w="2550" w:type="pct"/>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188914"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社会实践与研讨</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4F99D5"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4</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CD6ADA" w14:textId="29966320"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890B61" w14:textId="09659DAB"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866E7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3</w:t>
            </w: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47B59A" w14:textId="1A5E50D6"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0E928A" w14:textId="2F4FDF8F" w:rsidR="00BE1A8D" w:rsidRPr="00BE1A8D" w:rsidRDefault="00BE1A8D" w:rsidP="00BE1A8D">
            <w:pPr>
              <w:widowControl/>
              <w:wordWrap w:val="0"/>
              <w:spacing w:line="420" w:lineRule="atLeast"/>
              <w:ind w:firstLine="480"/>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187773" w14:textId="2640452C" w:rsidR="00BE1A8D" w:rsidRPr="00BE1A8D" w:rsidRDefault="00BE1A8D" w:rsidP="00BE1A8D">
            <w:pPr>
              <w:widowControl/>
              <w:wordWrap w:val="0"/>
              <w:spacing w:line="420" w:lineRule="atLeast"/>
              <w:ind w:firstLine="480"/>
              <w:rPr>
                <w:rFonts w:ascii="Tahoma" w:eastAsia="宋体" w:hAnsi="Tahoma" w:cs="Tahoma"/>
                <w:color w:val="444444"/>
                <w:kern w:val="0"/>
                <w:szCs w:val="21"/>
              </w:rPr>
            </w:pPr>
          </w:p>
        </w:tc>
      </w:tr>
      <w:tr w:rsidR="00BE1A8D" w:rsidRPr="00BE1A8D" w14:paraId="0A83B3C7" w14:textId="77777777" w:rsidTr="00BE1A8D">
        <w:trPr>
          <w:trHeight w:val="423"/>
        </w:trPr>
        <w:tc>
          <w:tcPr>
            <w:tcW w:w="2550" w:type="pct"/>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4C9116" w14:textId="49053810"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学位论文</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6B5AE"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2</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54D95D" w14:textId="0AAA62C2"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36FB8" w14:textId="217F8404"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81C2C1" w14:textId="33F856E2"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1948F2"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答辩</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1035CA" w14:textId="5929F63D" w:rsidR="00BE1A8D" w:rsidRPr="00BE1A8D" w:rsidRDefault="00BE1A8D" w:rsidP="00BE1A8D">
            <w:pPr>
              <w:widowControl/>
              <w:wordWrap w:val="0"/>
              <w:spacing w:line="420" w:lineRule="atLeast"/>
              <w:ind w:firstLine="480"/>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EC8A55" w14:textId="39D86FB5" w:rsidR="00BE1A8D" w:rsidRPr="00BE1A8D" w:rsidRDefault="00BE1A8D" w:rsidP="00BE1A8D">
            <w:pPr>
              <w:widowControl/>
              <w:wordWrap w:val="0"/>
              <w:spacing w:line="420" w:lineRule="atLeast"/>
              <w:ind w:firstLine="480"/>
              <w:rPr>
                <w:rFonts w:ascii="Tahoma" w:eastAsia="宋体" w:hAnsi="Tahoma" w:cs="Tahoma"/>
                <w:color w:val="444444"/>
                <w:kern w:val="0"/>
                <w:szCs w:val="21"/>
              </w:rPr>
            </w:pPr>
          </w:p>
        </w:tc>
      </w:tr>
      <w:tr w:rsidR="00BE1A8D" w:rsidRPr="00BE1A8D" w14:paraId="41B07E09" w14:textId="77777777" w:rsidTr="00BE1A8D">
        <w:trPr>
          <w:trHeight w:val="423"/>
        </w:trPr>
        <w:tc>
          <w:tcPr>
            <w:tcW w:w="2550" w:type="pct"/>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94850C" w14:textId="1044B5BB"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合</w:t>
            </w:r>
            <w:bookmarkStart w:id="0" w:name="_GoBack"/>
            <w:bookmarkEnd w:id="0"/>
            <w:r w:rsidRPr="00BE1A8D">
              <w:rPr>
                <w:rFonts w:ascii="Tahoma" w:eastAsia="宋体" w:hAnsi="Tahoma" w:cs="Tahoma"/>
                <w:color w:val="444444"/>
                <w:kern w:val="0"/>
                <w:sz w:val="18"/>
                <w:szCs w:val="18"/>
              </w:rPr>
              <w:t>计</w:t>
            </w:r>
          </w:p>
        </w:tc>
        <w:tc>
          <w:tcPr>
            <w:tcW w:w="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C1208F" w14:textId="77777777" w:rsidR="00BE1A8D" w:rsidRPr="00BE1A8D" w:rsidRDefault="00BE1A8D" w:rsidP="00BE1A8D">
            <w:pPr>
              <w:widowControl/>
              <w:wordWrap w:val="0"/>
              <w:spacing w:line="420" w:lineRule="atLeast"/>
              <w:rPr>
                <w:rFonts w:ascii="Tahoma" w:eastAsia="宋体" w:hAnsi="Tahoma" w:cs="Tahoma"/>
                <w:color w:val="444444"/>
                <w:kern w:val="0"/>
                <w:szCs w:val="21"/>
              </w:rPr>
            </w:pPr>
            <w:r w:rsidRPr="00BE1A8D">
              <w:rPr>
                <w:rFonts w:ascii="Tahoma" w:eastAsia="宋体" w:hAnsi="Tahoma" w:cs="Tahoma"/>
                <w:color w:val="444444"/>
                <w:kern w:val="0"/>
                <w:sz w:val="18"/>
                <w:szCs w:val="18"/>
              </w:rPr>
              <w:t>41</w:t>
            </w: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0AE9E2" w14:textId="3F423BA9"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BB7E6F" w14:textId="6AF7921E"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EE4190" w14:textId="36AD6CEE"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5617F8" w14:textId="3638ACD2" w:rsidR="00BE1A8D" w:rsidRPr="00BE1A8D" w:rsidRDefault="00BE1A8D" w:rsidP="00BE1A8D">
            <w:pPr>
              <w:widowControl/>
              <w:wordWrap w:val="0"/>
              <w:spacing w:line="420" w:lineRule="atLeast"/>
              <w:rPr>
                <w:rFonts w:ascii="Tahoma" w:eastAsia="宋体" w:hAnsi="Tahoma" w:cs="Tahoma"/>
                <w:color w:val="444444"/>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E232BA" w14:textId="374ABD45" w:rsidR="00BE1A8D" w:rsidRPr="00BE1A8D" w:rsidRDefault="00BE1A8D" w:rsidP="00BE1A8D">
            <w:pPr>
              <w:widowControl/>
              <w:wordWrap w:val="0"/>
              <w:spacing w:line="420" w:lineRule="atLeast"/>
              <w:ind w:firstLine="480"/>
              <w:rPr>
                <w:rFonts w:ascii="Tahoma" w:eastAsia="宋体" w:hAnsi="Tahoma" w:cs="Tahoma"/>
                <w:color w:val="444444"/>
                <w:kern w:val="0"/>
                <w:szCs w:val="21"/>
              </w:rPr>
            </w:pPr>
          </w:p>
        </w:tc>
        <w:tc>
          <w:tcPr>
            <w:tcW w:w="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C0D4CD" w14:textId="494BD6C2" w:rsidR="00BE1A8D" w:rsidRPr="00BE1A8D" w:rsidRDefault="00BE1A8D" w:rsidP="00BE1A8D">
            <w:pPr>
              <w:widowControl/>
              <w:wordWrap w:val="0"/>
              <w:spacing w:line="420" w:lineRule="atLeast"/>
              <w:ind w:firstLine="480"/>
              <w:rPr>
                <w:rFonts w:ascii="Tahoma" w:eastAsia="宋体" w:hAnsi="Tahoma" w:cs="Tahoma"/>
                <w:color w:val="444444"/>
                <w:kern w:val="0"/>
                <w:szCs w:val="21"/>
              </w:rPr>
            </w:pPr>
          </w:p>
        </w:tc>
      </w:tr>
      <w:tr w:rsidR="00BE1A8D" w:rsidRPr="00BE1A8D" w14:paraId="5C68A274" w14:textId="77777777" w:rsidTr="00BE1A8D">
        <w:trPr>
          <w:trHeight w:val="925"/>
        </w:trPr>
        <w:tc>
          <w:tcPr>
            <w:tcW w:w="5000" w:type="pct"/>
            <w:gridSpan w:val="11"/>
            <w:tcBorders>
              <w:top w:val="nil"/>
              <w:left w:val="single" w:sz="8" w:space="0" w:color="auto"/>
              <w:bottom w:val="nil"/>
              <w:right w:val="single" w:sz="8" w:space="0" w:color="000000"/>
            </w:tcBorders>
            <w:shd w:val="clear" w:color="auto" w:fill="auto"/>
            <w:tcMar>
              <w:top w:w="0" w:type="dxa"/>
              <w:left w:w="108" w:type="dxa"/>
              <w:bottom w:w="0" w:type="dxa"/>
              <w:right w:w="108" w:type="dxa"/>
            </w:tcMar>
            <w:vAlign w:val="center"/>
            <w:hideMark/>
          </w:tcPr>
          <w:p w14:paraId="2ADFF6A3" w14:textId="77777777" w:rsidR="00BE1A8D" w:rsidRPr="00BE1A8D" w:rsidRDefault="00BE1A8D" w:rsidP="00BE1A8D">
            <w:pPr>
              <w:widowControl/>
              <w:wordWrap w:val="0"/>
              <w:spacing w:line="420" w:lineRule="atLeast"/>
              <w:ind w:firstLine="480"/>
              <w:rPr>
                <w:rFonts w:ascii="Tahoma" w:eastAsia="宋体" w:hAnsi="Tahoma" w:cs="Tahoma"/>
                <w:color w:val="444444"/>
                <w:kern w:val="0"/>
                <w:szCs w:val="21"/>
              </w:rPr>
            </w:pPr>
            <w:r w:rsidRPr="00BE1A8D">
              <w:rPr>
                <w:rFonts w:ascii="Tahoma" w:eastAsia="宋体" w:hAnsi="Tahoma" w:cs="Tahoma"/>
                <w:color w:val="444444"/>
                <w:kern w:val="0"/>
                <w:sz w:val="18"/>
                <w:szCs w:val="18"/>
              </w:rPr>
              <w:t>1.</w:t>
            </w:r>
            <w:r w:rsidRPr="00BE1A8D">
              <w:rPr>
                <w:rFonts w:ascii="Tahoma" w:eastAsia="宋体" w:hAnsi="Tahoma" w:cs="Tahoma"/>
                <w:color w:val="444444"/>
                <w:kern w:val="0"/>
                <w:sz w:val="18"/>
                <w:szCs w:val="18"/>
              </w:rPr>
              <w:t>学生毕业时修满</w:t>
            </w:r>
            <w:r w:rsidRPr="00BE1A8D">
              <w:rPr>
                <w:rFonts w:ascii="Tahoma" w:eastAsia="宋体" w:hAnsi="Tahoma" w:cs="Tahoma"/>
                <w:color w:val="444444"/>
                <w:kern w:val="0"/>
                <w:sz w:val="18"/>
                <w:szCs w:val="18"/>
              </w:rPr>
              <w:t>35</w:t>
            </w:r>
            <w:r w:rsidRPr="00BE1A8D">
              <w:rPr>
                <w:rFonts w:ascii="Tahoma" w:eastAsia="宋体" w:hAnsi="Tahoma" w:cs="Tahoma"/>
                <w:color w:val="444444"/>
                <w:kern w:val="0"/>
                <w:sz w:val="18"/>
                <w:szCs w:val="18"/>
              </w:rPr>
              <w:t>学分（包含社会实践）方能申请学位；</w:t>
            </w:r>
          </w:p>
          <w:p w14:paraId="6D059D1C" w14:textId="041508F9" w:rsidR="00BE1A8D" w:rsidRPr="00BE1A8D" w:rsidRDefault="00BE1A8D" w:rsidP="00BE1A8D">
            <w:pPr>
              <w:widowControl/>
              <w:wordWrap w:val="0"/>
              <w:spacing w:line="420" w:lineRule="atLeast"/>
              <w:ind w:firstLine="480"/>
              <w:rPr>
                <w:rFonts w:ascii="Tahoma" w:eastAsia="宋体" w:hAnsi="Tahoma" w:cs="Tahoma"/>
                <w:color w:val="444444"/>
                <w:kern w:val="0"/>
                <w:szCs w:val="21"/>
              </w:rPr>
            </w:pPr>
            <w:r w:rsidRPr="00BE1A8D">
              <w:rPr>
                <w:rFonts w:ascii="Tahoma" w:eastAsia="宋体" w:hAnsi="Tahoma" w:cs="Tahoma"/>
                <w:color w:val="444444"/>
                <w:kern w:val="0"/>
                <w:sz w:val="18"/>
                <w:szCs w:val="18"/>
              </w:rPr>
              <w:t>2.</w:t>
            </w:r>
            <w:r w:rsidRPr="00BE1A8D">
              <w:rPr>
                <w:rFonts w:ascii="Tahoma" w:eastAsia="宋体" w:hAnsi="Tahoma" w:cs="Tahoma"/>
                <w:color w:val="444444"/>
                <w:kern w:val="0"/>
                <w:sz w:val="18"/>
                <w:szCs w:val="18"/>
              </w:rPr>
              <w:t>学生选修课须从</w:t>
            </w:r>
            <w:r w:rsidRPr="00BE1A8D">
              <w:rPr>
                <w:rFonts w:ascii="Tahoma" w:eastAsia="宋体" w:hAnsi="Tahoma" w:cs="Tahoma"/>
                <w:color w:val="444444"/>
                <w:kern w:val="0"/>
                <w:sz w:val="18"/>
                <w:szCs w:val="18"/>
              </w:rPr>
              <w:t>1</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2</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3</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4</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56</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7</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8</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9</w:t>
            </w:r>
            <w:r w:rsidRPr="00BE1A8D">
              <w:rPr>
                <w:rFonts w:ascii="Tahoma" w:eastAsia="宋体" w:hAnsi="Tahoma" w:cs="Tahoma"/>
                <w:color w:val="444444"/>
                <w:kern w:val="0"/>
                <w:sz w:val="18"/>
                <w:szCs w:val="18"/>
              </w:rPr>
              <w:t>、</w:t>
            </w:r>
            <w:r w:rsidRPr="00BE1A8D">
              <w:rPr>
                <w:rFonts w:ascii="Tahoma" w:eastAsia="宋体" w:hAnsi="Tahoma" w:cs="Tahoma"/>
                <w:color w:val="444444"/>
                <w:kern w:val="0"/>
                <w:sz w:val="18"/>
                <w:szCs w:val="18"/>
              </w:rPr>
              <w:t>10</w:t>
            </w:r>
            <w:r w:rsidRPr="00BE1A8D">
              <w:rPr>
                <w:rFonts w:ascii="Tahoma" w:eastAsia="宋体" w:hAnsi="Tahoma" w:cs="Tahoma"/>
                <w:color w:val="444444"/>
                <w:kern w:val="0"/>
                <w:sz w:val="18"/>
                <w:szCs w:val="18"/>
              </w:rPr>
              <w:t>中选</w:t>
            </w:r>
            <w:r w:rsidRPr="00BE1A8D">
              <w:rPr>
                <w:rFonts w:ascii="Tahoma" w:eastAsia="宋体" w:hAnsi="Tahoma" w:cs="Tahoma"/>
                <w:color w:val="444444"/>
                <w:kern w:val="0"/>
                <w:sz w:val="18"/>
                <w:szCs w:val="18"/>
              </w:rPr>
              <w:t>5</w:t>
            </w:r>
            <w:r w:rsidRPr="00BE1A8D">
              <w:rPr>
                <w:rFonts w:ascii="Tahoma" w:eastAsia="宋体" w:hAnsi="Tahoma" w:cs="Tahoma"/>
                <w:color w:val="444444"/>
                <w:kern w:val="0"/>
                <w:sz w:val="18"/>
                <w:szCs w:val="18"/>
              </w:rPr>
              <w:t>门。</w:t>
            </w:r>
          </w:p>
          <w:p w14:paraId="0B692978" w14:textId="77777777" w:rsidR="00BE1A8D" w:rsidRPr="00BE1A8D" w:rsidRDefault="00BE1A8D" w:rsidP="00BE1A8D">
            <w:pPr>
              <w:widowControl/>
              <w:wordWrap w:val="0"/>
              <w:spacing w:line="420" w:lineRule="atLeast"/>
              <w:ind w:firstLine="480"/>
              <w:rPr>
                <w:rFonts w:ascii="Tahoma" w:eastAsia="宋体" w:hAnsi="Tahoma" w:cs="Tahoma"/>
                <w:color w:val="444444"/>
                <w:kern w:val="0"/>
                <w:szCs w:val="21"/>
              </w:rPr>
            </w:pPr>
            <w:r w:rsidRPr="00BE1A8D">
              <w:rPr>
                <w:rFonts w:ascii="Tahoma" w:eastAsia="宋体" w:hAnsi="Tahoma" w:cs="Tahoma"/>
                <w:color w:val="444444"/>
                <w:kern w:val="0"/>
                <w:sz w:val="18"/>
                <w:szCs w:val="18"/>
              </w:rPr>
              <w:lastRenderedPageBreak/>
              <w:t>3</w:t>
            </w:r>
            <w:r w:rsidRPr="00BE1A8D">
              <w:rPr>
                <w:rFonts w:ascii="Tahoma" w:eastAsia="宋体" w:hAnsi="Tahoma" w:cs="Tahoma"/>
                <w:color w:val="444444"/>
                <w:kern w:val="0"/>
                <w:sz w:val="18"/>
                <w:szCs w:val="18"/>
              </w:rPr>
              <w:t>、跨学科或以同等学力考取的研究生必须加修补</w:t>
            </w:r>
            <w:proofErr w:type="gramStart"/>
            <w:r w:rsidRPr="00BE1A8D">
              <w:rPr>
                <w:rFonts w:ascii="Tahoma" w:eastAsia="宋体" w:hAnsi="Tahoma" w:cs="Tahoma"/>
                <w:color w:val="444444"/>
                <w:kern w:val="0"/>
                <w:sz w:val="18"/>
                <w:szCs w:val="18"/>
              </w:rPr>
              <w:t>修西方</w:t>
            </w:r>
            <w:proofErr w:type="gramEnd"/>
            <w:r w:rsidRPr="00BE1A8D">
              <w:rPr>
                <w:rFonts w:ascii="Tahoma" w:eastAsia="宋体" w:hAnsi="Tahoma" w:cs="Tahoma"/>
                <w:color w:val="444444"/>
                <w:kern w:val="0"/>
                <w:sz w:val="18"/>
                <w:szCs w:val="18"/>
              </w:rPr>
              <w:t>经济学（</w:t>
            </w:r>
            <w:r w:rsidRPr="00BE1A8D">
              <w:rPr>
                <w:rFonts w:ascii="Tahoma" w:eastAsia="宋体" w:hAnsi="Tahoma" w:cs="Tahoma"/>
                <w:color w:val="444444"/>
                <w:kern w:val="0"/>
                <w:sz w:val="18"/>
                <w:szCs w:val="18"/>
              </w:rPr>
              <w:t>2</w:t>
            </w:r>
            <w:r w:rsidRPr="00BE1A8D">
              <w:rPr>
                <w:rFonts w:ascii="Tahoma" w:eastAsia="宋体" w:hAnsi="Tahoma" w:cs="Tahoma"/>
                <w:color w:val="444444"/>
                <w:kern w:val="0"/>
                <w:sz w:val="18"/>
                <w:szCs w:val="18"/>
              </w:rPr>
              <w:t>学分）及金融学（</w:t>
            </w:r>
            <w:r w:rsidRPr="00BE1A8D">
              <w:rPr>
                <w:rFonts w:ascii="Tahoma" w:eastAsia="宋体" w:hAnsi="Tahoma" w:cs="Tahoma"/>
                <w:color w:val="444444"/>
                <w:kern w:val="0"/>
                <w:sz w:val="18"/>
                <w:szCs w:val="18"/>
              </w:rPr>
              <w:t>2</w:t>
            </w:r>
            <w:r w:rsidRPr="00BE1A8D">
              <w:rPr>
                <w:rFonts w:ascii="Tahoma" w:eastAsia="宋体" w:hAnsi="Tahoma" w:cs="Tahoma"/>
                <w:color w:val="444444"/>
                <w:kern w:val="0"/>
                <w:sz w:val="18"/>
                <w:szCs w:val="18"/>
              </w:rPr>
              <w:t>学分）两门课程。补修</w:t>
            </w:r>
            <w:proofErr w:type="gramStart"/>
            <w:r w:rsidRPr="00BE1A8D">
              <w:rPr>
                <w:rFonts w:ascii="Tahoma" w:eastAsia="宋体" w:hAnsi="Tahoma" w:cs="Tahoma"/>
                <w:color w:val="444444"/>
                <w:kern w:val="0"/>
                <w:sz w:val="18"/>
                <w:szCs w:val="18"/>
              </w:rPr>
              <w:t>课计算</w:t>
            </w:r>
            <w:proofErr w:type="gramEnd"/>
            <w:r w:rsidRPr="00BE1A8D">
              <w:rPr>
                <w:rFonts w:ascii="Tahoma" w:eastAsia="宋体" w:hAnsi="Tahoma" w:cs="Tahoma"/>
                <w:color w:val="444444"/>
                <w:kern w:val="0"/>
                <w:sz w:val="18"/>
                <w:szCs w:val="18"/>
              </w:rPr>
              <w:t>学分，但不在硕士生应修满的规定学分之内。</w:t>
            </w:r>
          </w:p>
        </w:tc>
      </w:tr>
    </w:tbl>
    <w:p w14:paraId="16FA74CA" w14:textId="77777777" w:rsidR="00B1429C" w:rsidRPr="00BE1A8D" w:rsidRDefault="00B1429C" w:rsidP="00B1429C">
      <w:pPr>
        <w:widowControl/>
        <w:jc w:val="left"/>
        <w:rPr>
          <w:rFonts w:ascii="宋体" w:eastAsia="宋体" w:hAnsi="宋体" w:cs="宋体"/>
          <w:kern w:val="0"/>
          <w:sz w:val="24"/>
          <w:szCs w:val="24"/>
        </w:rPr>
      </w:pPr>
    </w:p>
    <w:p w14:paraId="13236779" w14:textId="206068ED" w:rsidR="00B1429C" w:rsidRPr="00B1429C" w:rsidRDefault="00B1429C"/>
    <w:p w14:paraId="0E5236A4" w14:textId="0306FC36" w:rsidR="00B1429C" w:rsidRDefault="00B1429C"/>
    <w:p w14:paraId="3E0653CC" w14:textId="13C98B16" w:rsidR="00B1429C" w:rsidRDefault="00B1429C"/>
    <w:p w14:paraId="35E98A88" w14:textId="5B745E71" w:rsidR="00B1429C" w:rsidRDefault="00B1429C"/>
    <w:p w14:paraId="1A58097E" w14:textId="3E70E497" w:rsidR="00B1429C" w:rsidRDefault="00B1429C"/>
    <w:p w14:paraId="0BFE4914" w14:textId="35463E09" w:rsidR="00B1429C" w:rsidRDefault="00B1429C"/>
    <w:p w14:paraId="62C6BAD5" w14:textId="7CFA55DE" w:rsidR="00B1429C" w:rsidRDefault="00B1429C"/>
    <w:p w14:paraId="2ABD1358" w14:textId="77777777" w:rsidR="00B1429C" w:rsidRDefault="00B1429C"/>
    <w:sectPr w:rsidR="00B1429C" w:rsidSect="00B1429C">
      <w:pgSz w:w="16838" w:h="23811" w:code="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33"/>
    <w:rsid w:val="00960233"/>
    <w:rsid w:val="00B1429C"/>
    <w:rsid w:val="00BB47A1"/>
    <w:rsid w:val="00BD1433"/>
    <w:rsid w:val="00BE1A8D"/>
    <w:rsid w:val="00EF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BE4C"/>
  <w15:chartTrackingRefBased/>
  <w15:docId w15:val="{F1D0DA86-10C3-421C-9667-62FDFE07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2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49918">
      <w:bodyDiv w:val="1"/>
      <w:marLeft w:val="0"/>
      <w:marRight w:val="0"/>
      <w:marTop w:val="0"/>
      <w:marBottom w:val="0"/>
      <w:divBdr>
        <w:top w:val="none" w:sz="0" w:space="0" w:color="auto"/>
        <w:left w:val="none" w:sz="0" w:space="0" w:color="auto"/>
        <w:bottom w:val="none" w:sz="0" w:space="0" w:color="auto"/>
        <w:right w:val="none" w:sz="0" w:space="0" w:color="auto"/>
      </w:divBdr>
    </w:div>
    <w:div w:id="1337879563">
      <w:bodyDiv w:val="1"/>
      <w:marLeft w:val="0"/>
      <w:marRight w:val="0"/>
      <w:marTop w:val="0"/>
      <w:marBottom w:val="0"/>
      <w:divBdr>
        <w:top w:val="none" w:sz="0" w:space="0" w:color="auto"/>
        <w:left w:val="none" w:sz="0" w:space="0" w:color="auto"/>
        <w:bottom w:val="none" w:sz="0" w:space="0" w:color="auto"/>
        <w:right w:val="none" w:sz="0" w:space="0" w:color="auto"/>
      </w:divBdr>
    </w:div>
    <w:div w:id="17454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2018-10-01T03:49:00Z</dcterms:created>
  <dcterms:modified xsi:type="dcterms:W3CDTF">2018-10-01T04:01:00Z</dcterms:modified>
</cp:coreProperties>
</file>