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spacing w:line="600" w:lineRule="exact"/>
        <w:textAlignment w:val="auto"/>
        <w:rPr>
          <w:rFonts w:ascii="黑体" w:hAnsi="黑体" w:eastAsia="黑体" w:cs="Arial"/>
          <w:bCs/>
          <w:kern w:val="0"/>
          <w:sz w:val="32"/>
          <w:szCs w:val="32"/>
        </w:rPr>
      </w:pPr>
      <w:bookmarkStart w:id="0" w:name="_GoBack"/>
      <w:bookmarkEnd w:id="0"/>
      <w:r>
        <w:rPr>
          <w:rFonts w:hint="eastAsia" w:ascii="黑体" w:hAnsi="黑体" w:eastAsia="黑体" w:cs="Arial"/>
          <w:bCs/>
          <w:kern w:val="0"/>
          <w:sz w:val="32"/>
          <w:szCs w:val="32"/>
        </w:rPr>
        <w:t>附件</w:t>
      </w:r>
      <w:r>
        <w:rPr>
          <w:rFonts w:ascii="黑体" w:hAnsi="黑体" w:eastAsia="黑体" w:cs="Arial"/>
          <w:bCs/>
          <w:kern w:val="0"/>
          <w:sz w:val="32"/>
          <w:szCs w:val="32"/>
        </w:rPr>
        <w:t>1</w:t>
      </w:r>
    </w:p>
    <w:p>
      <w:pPr>
        <w:pageBreakBefore w:val="0"/>
        <w:kinsoku/>
        <w:wordWrap/>
        <w:overflowPunct/>
        <w:topLinePunct w:val="0"/>
        <w:bidi w:val="0"/>
        <w:snapToGrid/>
        <w:spacing w:line="600" w:lineRule="exact"/>
        <w:textAlignment w:val="auto"/>
        <w:rPr>
          <w:rFonts w:ascii="黑体" w:hAnsi="黑体" w:eastAsia="黑体" w:cs="Arial"/>
          <w:bCs/>
          <w:kern w:val="0"/>
          <w:sz w:val="32"/>
          <w:szCs w:val="32"/>
        </w:rPr>
      </w:pPr>
    </w:p>
    <w:p>
      <w:pPr>
        <w:pageBreakBefore w:val="0"/>
        <w:kinsoku/>
        <w:wordWrap/>
        <w:overflowPunct/>
        <w:topLinePunct w:val="0"/>
        <w:bidi w:val="0"/>
        <w:snapToGrid/>
        <w:spacing w:line="6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重点（培育）学科、重点专业及</w:t>
      </w:r>
    </w:p>
    <w:p>
      <w:pPr>
        <w:pageBreakBefore w:val="0"/>
        <w:kinsoku/>
        <w:wordWrap/>
        <w:overflowPunct/>
        <w:topLinePunct w:val="0"/>
        <w:bidi w:val="0"/>
        <w:snapToGrid/>
        <w:spacing w:line="6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重点产业紧缺专业名单</w:t>
      </w:r>
    </w:p>
    <w:p>
      <w:pPr>
        <w:pageBreakBefore w:val="0"/>
        <w:kinsoku/>
        <w:wordWrap/>
        <w:overflowPunct/>
        <w:topLinePunct w:val="0"/>
        <w:bidi w:val="0"/>
        <w:snapToGrid/>
        <w:spacing w:line="600" w:lineRule="exact"/>
        <w:jc w:val="center"/>
        <w:textAlignment w:val="auto"/>
        <w:rPr>
          <w:rFonts w:ascii="方正小标宋简体" w:hAnsi="宋体" w:eastAsia="方正小标宋简体"/>
          <w:sz w:val="44"/>
          <w:szCs w:val="44"/>
        </w:rPr>
      </w:pPr>
    </w:p>
    <w:p>
      <w:pPr>
        <w:pageBreakBefore w:val="0"/>
        <w:kinsoku/>
        <w:wordWrap/>
        <w:overflowPunct/>
        <w:topLinePunct w:val="0"/>
        <w:bidi w:val="0"/>
        <w:snapToGrid/>
        <w:spacing w:line="600" w:lineRule="exact"/>
        <w:textAlignment w:val="auto"/>
        <w:rPr>
          <w:rFonts w:ascii="楷体" w:hAnsi="楷体" w:eastAsia="楷体" w:cs="宋体"/>
          <w:sz w:val="32"/>
          <w:szCs w:val="32"/>
        </w:rPr>
      </w:pPr>
      <w:r>
        <w:rPr>
          <w:rFonts w:hint="eastAsia" w:ascii="楷体" w:hAnsi="楷体" w:eastAsia="楷体" w:cs="宋体"/>
          <w:sz w:val="32"/>
          <w:szCs w:val="32"/>
        </w:rPr>
        <w:t xml:space="preserve">    （一）国家重点（培育）学科名单</w:t>
      </w:r>
    </w:p>
    <w:p>
      <w:pPr>
        <w:pageBreakBefore w:val="0"/>
        <w:kinsoku/>
        <w:wordWrap/>
        <w:overflowPunct/>
        <w:topLinePunct w:val="0"/>
        <w:bidi w:val="0"/>
        <w:snapToGrid/>
        <w:spacing w:line="600" w:lineRule="exact"/>
        <w:ind w:firstLine="627" w:firstLineChars="196"/>
        <w:textAlignment w:val="auto"/>
        <w:rPr>
          <w:rFonts w:ascii="仿宋" w:hAnsi="仿宋" w:eastAsia="仿宋" w:cs="黑体"/>
          <w:sz w:val="32"/>
          <w:szCs w:val="32"/>
        </w:rPr>
      </w:pPr>
      <w:r>
        <w:rPr>
          <w:rFonts w:hint="eastAsia" w:ascii="仿宋" w:hAnsi="仿宋" w:eastAsia="仿宋" w:cs="黑体"/>
          <w:bCs/>
          <w:sz w:val="32"/>
          <w:szCs w:val="32"/>
        </w:rPr>
        <w:t>新疆大学：</w:t>
      </w:r>
      <w:r>
        <w:rPr>
          <w:rFonts w:hint="eastAsia" w:ascii="仿宋" w:hAnsi="仿宋" w:eastAsia="仿宋" w:cs="黑体"/>
          <w:sz w:val="32"/>
          <w:szCs w:val="32"/>
        </w:rPr>
        <w:t>中国少数民族语言文学、应用数学、人口资源与环境经济学（培育）</w:t>
      </w:r>
    </w:p>
    <w:p>
      <w:pPr>
        <w:pageBreakBefore w:val="0"/>
        <w:kinsoku/>
        <w:wordWrap/>
        <w:overflowPunct/>
        <w:topLinePunct w:val="0"/>
        <w:bidi w:val="0"/>
        <w:snapToGrid/>
        <w:spacing w:line="600" w:lineRule="exact"/>
        <w:ind w:firstLine="627" w:firstLineChars="196"/>
        <w:textAlignment w:val="auto"/>
        <w:rPr>
          <w:rFonts w:ascii="仿宋" w:hAnsi="仿宋" w:eastAsia="仿宋" w:cs="黑体"/>
          <w:sz w:val="32"/>
          <w:szCs w:val="32"/>
        </w:rPr>
      </w:pPr>
      <w:r>
        <w:rPr>
          <w:rFonts w:hint="eastAsia" w:ascii="仿宋" w:hAnsi="仿宋" w:eastAsia="仿宋" w:cs="黑体"/>
          <w:bCs/>
          <w:sz w:val="32"/>
          <w:szCs w:val="32"/>
        </w:rPr>
        <w:t>石河子大学：</w:t>
      </w:r>
      <w:r>
        <w:rPr>
          <w:rFonts w:hint="eastAsia" w:ascii="仿宋" w:hAnsi="仿宋" w:eastAsia="仿宋" w:cs="黑体"/>
          <w:sz w:val="32"/>
          <w:szCs w:val="32"/>
        </w:rPr>
        <w:t xml:space="preserve">作物栽培学与耕作学、农业经济管理（培育）  </w:t>
      </w:r>
    </w:p>
    <w:p>
      <w:pPr>
        <w:pageBreakBefore w:val="0"/>
        <w:kinsoku/>
        <w:wordWrap/>
        <w:overflowPunct/>
        <w:topLinePunct w:val="0"/>
        <w:bidi w:val="0"/>
        <w:snapToGrid/>
        <w:spacing w:line="600" w:lineRule="exact"/>
        <w:ind w:firstLine="627" w:firstLineChars="196"/>
        <w:textAlignment w:val="auto"/>
        <w:rPr>
          <w:rFonts w:ascii="仿宋" w:hAnsi="仿宋" w:eastAsia="仿宋" w:cs="黑体"/>
          <w:sz w:val="32"/>
          <w:szCs w:val="32"/>
        </w:rPr>
      </w:pPr>
      <w:r>
        <w:rPr>
          <w:rFonts w:hint="eastAsia" w:ascii="仿宋" w:hAnsi="仿宋" w:eastAsia="仿宋" w:cs="黑体"/>
          <w:bCs/>
          <w:sz w:val="32"/>
          <w:szCs w:val="32"/>
        </w:rPr>
        <w:t>新疆农业大学：</w:t>
      </w:r>
      <w:r>
        <w:rPr>
          <w:rFonts w:hint="eastAsia" w:ascii="仿宋" w:hAnsi="仿宋" w:eastAsia="仿宋" w:cs="黑体"/>
          <w:sz w:val="32"/>
          <w:szCs w:val="32"/>
        </w:rPr>
        <w:t>草业学科、水利水电工程（培育）</w:t>
      </w:r>
    </w:p>
    <w:p>
      <w:pPr>
        <w:pageBreakBefore w:val="0"/>
        <w:kinsoku/>
        <w:wordWrap/>
        <w:overflowPunct/>
        <w:topLinePunct w:val="0"/>
        <w:bidi w:val="0"/>
        <w:snapToGrid/>
        <w:spacing w:line="600" w:lineRule="exact"/>
        <w:ind w:firstLine="627" w:firstLineChars="196"/>
        <w:textAlignment w:val="auto"/>
        <w:rPr>
          <w:rFonts w:ascii="楷体" w:hAnsi="楷体" w:eastAsia="楷体"/>
          <w:sz w:val="32"/>
          <w:szCs w:val="32"/>
        </w:rPr>
      </w:pPr>
      <w:r>
        <w:rPr>
          <w:rFonts w:hint="eastAsia" w:ascii="楷体" w:hAnsi="楷体" w:eastAsia="楷体"/>
          <w:sz w:val="32"/>
          <w:szCs w:val="32"/>
        </w:rPr>
        <w:t>（二）自治区“十三五”重点学科名单（57个）</w:t>
      </w:r>
    </w:p>
    <w:p>
      <w:pPr>
        <w:pageBreakBefore w:val="0"/>
        <w:kinsoku/>
        <w:wordWrap/>
        <w:overflowPunct/>
        <w:topLinePunct w:val="0"/>
        <w:bidi w:val="0"/>
        <w:snapToGrid/>
        <w:spacing w:line="600" w:lineRule="exact"/>
        <w:ind w:firstLine="627" w:firstLineChars="196"/>
        <w:textAlignment w:val="auto"/>
        <w:rPr>
          <w:rFonts w:ascii="宋体" w:hAnsi="宋体" w:cs="宋体"/>
          <w:bCs/>
          <w:sz w:val="32"/>
          <w:szCs w:val="32"/>
        </w:rPr>
      </w:pPr>
      <w:r>
        <w:rPr>
          <w:rFonts w:hint="eastAsia" w:ascii="楷体" w:hAnsi="楷体" w:eastAsia="楷体" w:cs="黑体"/>
          <w:sz w:val="32"/>
          <w:szCs w:val="32"/>
        </w:rPr>
        <w:t>1.高峰学科</w:t>
      </w:r>
    </w:p>
    <w:p>
      <w:pPr>
        <w:pageBreakBefore w:val="0"/>
        <w:kinsoku/>
        <w:wordWrap/>
        <w:overflowPunct/>
        <w:topLinePunct w:val="0"/>
        <w:bidi w:val="0"/>
        <w:snapToGrid/>
        <w:spacing w:line="600" w:lineRule="exact"/>
        <w:ind w:firstLine="627" w:firstLineChars="196"/>
        <w:textAlignment w:val="auto"/>
        <w:rPr>
          <w:rFonts w:ascii="仿宋" w:hAnsi="仿宋" w:eastAsia="仿宋" w:cs="黑体"/>
          <w:sz w:val="32"/>
          <w:szCs w:val="32"/>
        </w:rPr>
      </w:pPr>
      <w:r>
        <w:rPr>
          <w:rFonts w:hint="eastAsia" w:ascii="仿宋" w:hAnsi="仿宋" w:eastAsia="仿宋" w:cs="黑体"/>
          <w:bCs/>
          <w:sz w:val="32"/>
          <w:szCs w:val="32"/>
        </w:rPr>
        <w:t>新疆大学：</w:t>
      </w:r>
      <w:r>
        <w:rPr>
          <w:rFonts w:hint="eastAsia" w:ascii="仿宋" w:hAnsi="仿宋" w:eastAsia="仿宋" w:cs="黑体"/>
          <w:sz w:val="32"/>
          <w:szCs w:val="32"/>
        </w:rPr>
        <w:t>马克思主义理论、中国语言文学、数学、化学、生态学、计算机科学与技术</w:t>
      </w:r>
    </w:p>
    <w:p>
      <w:pPr>
        <w:pageBreakBefore w:val="0"/>
        <w:kinsoku/>
        <w:wordWrap/>
        <w:overflowPunct/>
        <w:topLinePunct w:val="0"/>
        <w:bidi w:val="0"/>
        <w:snapToGrid/>
        <w:spacing w:line="600" w:lineRule="exact"/>
        <w:ind w:firstLine="627" w:firstLineChars="196"/>
        <w:textAlignment w:val="auto"/>
        <w:rPr>
          <w:rFonts w:ascii="仿宋" w:hAnsi="仿宋" w:eastAsia="仿宋" w:cs="黑体"/>
          <w:sz w:val="32"/>
          <w:szCs w:val="32"/>
        </w:rPr>
      </w:pPr>
      <w:r>
        <w:rPr>
          <w:rFonts w:hint="eastAsia" w:ascii="仿宋" w:hAnsi="仿宋" w:eastAsia="仿宋" w:cs="黑体"/>
          <w:bCs/>
          <w:sz w:val="32"/>
          <w:szCs w:val="32"/>
        </w:rPr>
        <w:t>石河子大学：</w:t>
      </w:r>
      <w:r>
        <w:rPr>
          <w:rFonts w:hint="eastAsia" w:ascii="仿宋" w:hAnsi="仿宋" w:eastAsia="仿宋" w:cs="黑体"/>
          <w:sz w:val="32"/>
          <w:szCs w:val="32"/>
        </w:rPr>
        <w:t>作物学</w:t>
      </w:r>
    </w:p>
    <w:p>
      <w:pPr>
        <w:pageBreakBefore w:val="0"/>
        <w:kinsoku/>
        <w:wordWrap/>
        <w:overflowPunct/>
        <w:topLinePunct w:val="0"/>
        <w:bidi w:val="0"/>
        <w:snapToGrid/>
        <w:spacing w:line="600" w:lineRule="exact"/>
        <w:ind w:firstLine="627" w:firstLineChars="196"/>
        <w:textAlignment w:val="auto"/>
        <w:rPr>
          <w:rFonts w:ascii="仿宋" w:hAnsi="仿宋" w:eastAsia="仿宋" w:cs="黑体"/>
          <w:sz w:val="32"/>
          <w:szCs w:val="32"/>
        </w:rPr>
      </w:pPr>
      <w:r>
        <w:rPr>
          <w:rFonts w:hint="eastAsia" w:ascii="仿宋" w:hAnsi="仿宋" w:eastAsia="仿宋" w:cs="黑体"/>
          <w:bCs/>
          <w:sz w:val="32"/>
          <w:szCs w:val="32"/>
        </w:rPr>
        <w:t>新疆农业大学：</w:t>
      </w:r>
      <w:r>
        <w:rPr>
          <w:rFonts w:hint="eastAsia" w:ascii="仿宋" w:hAnsi="仿宋" w:eastAsia="仿宋" w:cs="黑体"/>
          <w:sz w:val="32"/>
          <w:szCs w:val="32"/>
        </w:rPr>
        <w:t>水利工程、草学</w:t>
      </w:r>
    </w:p>
    <w:p>
      <w:pPr>
        <w:pageBreakBefore w:val="0"/>
        <w:kinsoku/>
        <w:wordWrap/>
        <w:overflowPunct/>
        <w:topLinePunct w:val="0"/>
        <w:bidi w:val="0"/>
        <w:snapToGrid/>
        <w:spacing w:line="600" w:lineRule="exact"/>
        <w:ind w:firstLine="627" w:firstLineChars="196"/>
        <w:textAlignment w:val="auto"/>
        <w:rPr>
          <w:rFonts w:ascii="仿宋" w:hAnsi="仿宋" w:eastAsia="仿宋" w:cs="黑体"/>
          <w:sz w:val="32"/>
          <w:szCs w:val="32"/>
        </w:rPr>
      </w:pPr>
      <w:r>
        <w:rPr>
          <w:rFonts w:hint="eastAsia" w:ascii="仿宋" w:hAnsi="仿宋" w:eastAsia="仿宋" w:cs="黑体"/>
          <w:bCs/>
          <w:sz w:val="32"/>
          <w:szCs w:val="32"/>
        </w:rPr>
        <w:t>新疆医科大学：</w:t>
      </w:r>
      <w:r>
        <w:rPr>
          <w:rFonts w:hint="eastAsia" w:ascii="仿宋" w:hAnsi="仿宋" w:eastAsia="仿宋" w:cs="黑体"/>
          <w:sz w:val="32"/>
          <w:szCs w:val="32"/>
        </w:rPr>
        <w:t>临床医学、中西医结合</w:t>
      </w:r>
    </w:p>
    <w:p>
      <w:pPr>
        <w:pageBreakBefore w:val="0"/>
        <w:kinsoku/>
        <w:wordWrap/>
        <w:overflowPunct/>
        <w:topLinePunct w:val="0"/>
        <w:bidi w:val="0"/>
        <w:snapToGrid/>
        <w:spacing w:line="600" w:lineRule="exact"/>
        <w:ind w:firstLine="627" w:firstLineChars="196"/>
        <w:textAlignment w:val="auto"/>
        <w:rPr>
          <w:rFonts w:ascii="仿宋" w:hAnsi="仿宋" w:eastAsia="仿宋" w:cs="黑体"/>
          <w:sz w:val="32"/>
          <w:szCs w:val="32"/>
        </w:rPr>
      </w:pPr>
      <w:r>
        <w:rPr>
          <w:rFonts w:hint="eastAsia" w:ascii="仿宋" w:hAnsi="仿宋" w:eastAsia="仿宋" w:cs="黑体"/>
          <w:bCs/>
          <w:sz w:val="32"/>
          <w:szCs w:val="32"/>
        </w:rPr>
        <w:t>新疆师范大学：</w:t>
      </w:r>
      <w:r>
        <w:rPr>
          <w:rFonts w:hint="eastAsia" w:ascii="仿宋" w:hAnsi="仿宋" w:eastAsia="仿宋" w:cs="黑体"/>
          <w:sz w:val="32"/>
          <w:szCs w:val="32"/>
        </w:rPr>
        <w:t>民族学</w:t>
      </w:r>
    </w:p>
    <w:p>
      <w:pPr>
        <w:pageBreakBefore w:val="0"/>
        <w:kinsoku/>
        <w:wordWrap/>
        <w:overflowPunct/>
        <w:topLinePunct w:val="0"/>
        <w:bidi w:val="0"/>
        <w:snapToGrid/>
        <w:spacing w:line="600" w:lineRule="exact"/>
        <w:ind w:firstLine="627" w:firstLineChars="196"/>
        <w:textAlignment w:val="auto"/>
        <w:rPr>
          <w:rFonts w:ascii="仿宋" w:hAnsi="仿宋" w:eastAsia="仿宋" w:cs="黑体"/>
          <w:sz w:val="32"/>
          <w:szCs w:val="32"/>
        </w:rPr>
      </w:pPr>
      <w:r>
        <w:rPr>
          <w:rFonts w:hint="eastAsia" w:ascii="仿宋" w:hAnsi="仿宋" w:eastAsia="仿宋" w:cs="黑体"/>
          <w:bCs/>
          <w:sz w:val="32"/>
          <w:szCs w:val="32"/>
        </w:rPr>
        <w:t>新疆财经大学：</w:t>
      </w:r>
      <w:r>
        <w:rPr>
          <w:rFonts w:hint="eastAsia" w:ascii="仿宋" w:hAnsi="仿宋" w:eastAsia="仿宋" w:cs="黑体"/>
          <w:sz w:val="32"/>
          <w:szCs w:val="32"/>
        </w:rPr>
        <w:t>应用经济学</w:t>
      </w:r>
    </w:p>
    <w:p>
      <w:pPr>
        <w:pageBreakBefore w:val="0"/>
        <w:kinsoku/>
        <w:wordWrap/>
        <w:overflowPunct/>
        <w:topLinePunct w:val="0"/>
        <w:bidi w:val="0"/>
        <w:snapToGrid/>
        <w:spacing w:line="600" w:lineRule="exact"/>
        <w:ind w:firstLine="627" w:firstLineChars="196"/>
        <w:textAlignment w:val="auto"/>
        <w:rPr>
          <w:rFonts w:ascii="楷体" w:hAnsi="楷体" w:eastAsia="楷体" w:cs="黑体"/>
          <w:bCs/>
          <w:sz w:val="32"/>
          <w:szCs w:val="32"/>
        </w:rPr>
      </w:pPr>
      <w:r>
        <w:rPr>
          <w:rFonts w:hint="eastAsia" w:ascii="楷体" w:hAnsi="楷体" w:eastAsia="楷体" w:cs="黑体"/>
          <w:bCs/>
          <w:sz w:val="32"/>
          <w:szCs w:val="32"/>
        </w:rPr>
        <w:t>2.高原学科</w:t>
      </w:r>
    </w:p>
    <w:p>
      <w:pPr>
        <w:pageBreakBefore w:val="0"/>
        <w:kinsoku/>
        <w:wordWrap/>
        <w:overflowPunct/>
        <w:topLinePunct w:val="0"/>
        <w:bidi w:val="0"/>
        <w:snapToGrid/>
        <w:spacing w:line="600" w:lineRule="exact"/>
        <w:ind w:firstLine="636"/>
        <w:textAlignment w:val="auto"/>
        <w:rPr>
          <w:rFonts w:ascii="仿宋" w:hAnsi="仿宋" w:eastAsia="仿宋" w:cs="黑体"/>
          <w:sz w:val="32"/>
          <w:szCs w:val="32"/>
        </w:rPr>
      </w:pPr>
      <w:r>
        <w:rPr>
          <w:rFonts w:hint="eastAsia" w:ascii="仿宋" w:hAnsi="仿宋" w:eastAsia="仿宋" w:cs="黑体"/>
          <w:bCs/>
          <w:sz w:val="32"/>
          <w:szCs w:val="32"/>
        </w:rPr>
        <w:t>新疆大学：</w:t>
      </w:r>
      <w:r>
        <w:rPr>
          <w:rFonts w:hint="eastAsia" w:ascii="仿宋" w:hAnsi="仿宋" w:eastAsia="仿宋" w:cs="黑体"/>
          <w:sz w:val="32"/>
          <w:szCs w:val="32"/>
        </w:rPr>
        <w:t>理论经济学、地理学、生物学、机械工程、电气工程、信息与通信工程、化学工程与技术</w:t>
      </w:r>
    </w:p>
    <w:p>
      <w:pPr>
        <w:pageBreakBefore w:val="0"/>
        <w:kinsoku/>
        <w:wordWrap/>
        <w:overflowPunct/>
        <w:topLinePunct w:val="0"/>
        <w:bidi w:val="0"/>
        <w:snapToGrid/>
        <w:spacing w:line="600" w:lineRule="exact"/>
        <w:ind w:firstLine="636"/>
        <w:textAlignment w:val="auto"/>
        <w:rPr>
          <w:rFonts w:ascii="仿宋" w:hAnsi="仿宋" w:eastAsia="仿宋" w:cs="黑体"/>
          <w:sz w:val="32"/>
          <w:szCs w:val="32"/>
        </w:rPr>
      </w:pPr>
      <w:r>
        <w:rPr>
          <w:rFonts w:hint="eastAsia" w:ascii="仿宋" w:hAnsi="仿宋" w:eastAsia="仿宋" w:cs="黑体"/>
          <w:bCs/>
          <w:sz w:val="32"/>
          <w:szCs w:val="32"/>
        </w:rPr>
        <w:t>石河子大学：</w:t>
      </w:r>
      <w:r>
        <w:rPr>
          <w:rFonts w:hint="eastAsia" w:ascii="仿宋" w:hAnsi="仿宋" w:eastAsia="仿宋" w:cs="黑体"/>
          <w:sz w:val="32"/>
          <w:szCs w:val="32"/>
        </w:rPr>
        <w:t>生物学、化学工程与技术、农业工程、植物保护、畜牧学、兽医学、基础医学、临床医学、药学</w:t>
      </w:r>
    </w:p>
    <w:p>
      <w:pPr>
        <w:pageBreakBefore w:val="0"/>
        <w:kinsoku/>
        <w:wordWrap/>
        <w:overflowPunct/>
        <w:topLinePunct w:val="0"/>
        <w:bidi w:val="0"/>
        <w:snapToGrid/>
        <w:spacing w:line="600" w:lineRule="exact"/>
        <w:ind w:firstLine="636"/>
        <w:textAlignment w:val="auto"/>
        <w:rPr>
          <w:rFonts w:ascii="仿宋" w:hAnsi="仿宋" w:eastAsia="仿宋" w:cs="黑体"/>
          <w:sz w:val="32"/>
          <w:szCs w:val="32"/>
        </w:rPr>
      </w:pPr>
      <w:r>
        <w:rPr>
          <w:rFonts w:hint="eastAsia" w:ascii="仿宋" w:hAnsi="仿宋" w:eastAsia="仿宋" w:cs="黑体"/>
          <w:bCs/>
          <w:sz w:val="32"/>
          <w:szCs w:val="32"/>
        </w:rPr>
        <w:t>新疆农业大学：</w:t>
      </w:r>
      <w:r>
        <w:rPr>
          <w:rFonts w:hint="eastAsia" w:ascii="仿宋" w:hAnsi="仿宋" w:eastAsia="仿宋" w:cs="黑体"/>
          <w:sz w:val="32"/>
          <w:szCs w:val="32"/>
        </w:rPr>
        <w:t>作物学、园艺学、畜牧学、林学、农林经济管理</w:t>
      </w:r>
    </w:p>
    <w:p>
      <w:pPr>
        <w:pageBreakBefore w:val="0"/>
        <w:kinsoku/>
        <w:wordWrap/>
        <w:overflowPunct/>
        <w:topLinePunct w:val="0"/>
        <w:bidi w:val="0"/>
        <w:snapToGrid/>
        <w:spacing w:line="600" w:lineRule="exact"/>
        <w:ind w:firstLine="636"/>
        <w:textAlignment w:val="auto"/>
        <w:rPr>
          <w:rFonts w:ascii="仿宋" w:hAnsi="仿宋" w:eastAsia="仿宋" w:cs="黑体"/>
          <w:sz w:val="32"/>
          <w:szCs w:val="32"/>
        </w:rPr>
      </w:pPr>
      <w:r>
        <w:rPr>
          <w:rFonts w:hint="eastAsia" w:ascii="仿宋" w:hAnsi="仿宋" w:eastAsia="仿宋" w:cs="黑体"/>
          <w:bCs/>
          <w:sz w:val="32"/>
          <w:szCs w:val="32"/>
        </w:rPr>
        <w:t>新疆医科大学：</w:t>
      </w:r>
      <w:r>
        <w:rPr>
          <w:rFonts w:hint="eastAsia" w:ascii="仿宋" w:hAnsi="仿宋" w:eastAsia="仿宋" w:cs="黑体"/>
          <w:sz w:val="32"/>
          <w:szCs w:val="32"/>
        </w:rPr>
        <w:t>基础医学、公共卫生与预防医学、中医学、药学</w:t>
      </w:r>
    </w:p>
    <w:p>
      <w:pPr>
        <w:pageBreakBefore w:val="0"/>
        <w:kinsoku/>
        <w:wordWrap/>
        <w:overflowPunct/>
        <w:topLinePunct w:val="0"/>
        <w:bidi w:val="0"/>
        <w:snapToGrid/>
        <w:spacing w:line="600" w:lineRule="exact"/>
        <w:ind w:firstLine="636"/>
        <w:textAlignment w:val="auto"/>
        <w:rPr>
          <w:rFonts w:ascii="仿宋" w:hAnsi="仿宋" w:eastAsia="仿宋" w:cs="黑体"/>
          <w:sz w:val="32"/>
          <w:szCs w:val="32"/>
        </w:rPr>
      </w:pPr>
      <w:r>
        <w:rPr>
          <w:rFonts w:hint="eastAsia" w:ascii="仿宋" w:hAnsi="仿宋" w:eastAsia="仿宋" w:cs="黑体"/>
          <w:bCs/>
          <w:sz w:val="32"/>
          <w:szCs w:val="32"/>
        </w:rPr>
        <w:t>新疆师范大学：</w:t>
      </w:r>
      <w:r>
        <w:rPr>
          <w:rFonts w:hint="eastAsia" w:ascii="仿宋" w:hAnsi="仿宋" w:eastAsia="仿宋" w:cs="黑体"/>
          <w:sz w:val="32"/>
          <w:szCs w:val="32"/>
        </w:rPr>
        <w:t>马克思主义理论、教育学、体育学</w:t>
      </w:r>
    </w:p>
    <w:p>
      <w:pPr>
        <w:pageBreakBefore w:val="0"/>
        <w:kinsoku/>
        <w:wordWrap/>
        <w:overflowPunct/>
        <w:topLinePunct w:val="0"/>
        <w:bidi w:val="0"/>
        <w:snapToGrid/>
        <w:spacing w:line="600" w:lineRule="exact"/>
        <w:ind w:firstLine="636"/>
        <w:textAlignment w:val="auto"/>
        <w:rPr>
          <w:rFonts w:ascii="仿宋" w:hAnsi="仿宋" w:eastAsia="仿宋" w:cs="黑体"/>
          <w:sz w:val="32"/>
          <w:szCs w:val="32"/>
        </w:rPr>
      </w:pPr>
      <w:r>
        <w:rPr>
          <w:rFonts w:hint="eastAsia" w:ascii="仿宋" w:hAnsi="仿宋" w:eastAsia="仿宋" w:cs="黑体"/>
          <w:bCs/>
          <w:sz w:val="32"/>
          <w:szCs w:val="32"/>
        </w:rPr>
        <w:t>新疆财经大学：</w:t>
      </w:r>
      <w:r>
        <w:rPr>
          <w:rFonts w:hint="eastAsia" w:ascii="仿宋" w:hAnsi="仿宋" w:eastAsia="仿宋" w:cs="黑体"/>
          <w:sz w:val="32"/>
          <w:szCs w:val="32"/>
        </w:rPr>
        <w:t>统计学、工商管理</w:t>
      </w:r>
    </w:p>
    <w:p>
      <w:pPr>
        <w:pageBreakBefore w:val="0"/>
        <w:kinsoku/>
        <w:wordWrap/>
        <w:overflowPunct/>
        <w:topLinePunct w:val="0"/>
        <w:bidi w:val="0"/>
        <w:snapToGrid/>
        <w:spacing w:line="600" w:lineRule="exact"/>
        <w:ind w:firstLine="636"/>
        <w:textAlignment w:val="auto"/>
        <w:rPr>
          <w:rFonts w:ascii="仿宋" w:hAnsi="仿宋" w:eastAsia="仿宋" w:cs="黑体"/>
          <w:sz w:val="32"/>
          <w:szCs w:val="32"/>
        </w:rPr>
      </w:pPr>
      <w:r>
        <w:rPr>
          <w:rFonts w:hint="eastAsia" w:ascii="仿宋" w:hAnsi="仿宋" w:eastAsia="仿宋" w:cs="黑体"/>
          <w:bCs/>
          <w:sz w:val="32"/>
          <w:szCs w:val="32"/>
        </w:rPr>
        <w:t>新疆艺术学院：</w:t>
      </w:r>
      <w:r>
        <w:rPr>
          <w:rFonts w:hint="eastAsia" w:ascii="仿宋" w:hAnsi="仿宋" w:eastAsia="仿宋" w:cs="黑体"/>
          <w:sz w:val="32"/>
          <w:szCs w:val="32"/>
        </w:rPr>
        <w:t>美术学</w:t>
      </w:r>
    </w:p>
    <w:p>
      <w:pPr>
        <w:pageBreakBefore w:val="0"/>
        <w:kinsoku/>
        <w:wordWrap/>
        <w:overflowPunct/>
        <w:topLinePunct w:val="0"/>
        <w:bidi w:val="0"/>
        <w:snapToGrid/>
        <w:spacing w:line="600" w:lineRule="exact"/>
        <w:ind w:firstLine="636"/>
        <w:textAlignment w:val="auto"/>
        <w:rPr>
          <w:rFonts w:ascii="仿宋" w:hAnsi="仿宋" w:eastAsia="仿宋" w:cs="黑体"/>
          <w:sz w:val="32"/>
          <w:szCs w:val="32"/>
        </w:rPr>
      </w:pPr>
      <w:r>
        <w:rPr>
          <w:rFonts w:hint="eastAsia" w:ascii="仿宋" w:hAnsi="仿宋" w:eastAsia="仿宋" w:cs="黑体"/>
          <w:bCs/>
          <w:sz w:val="32"/>
          <w:szCs w:val="32"/>
        </w:rPr>
        <w:t>喀什大学：</w:t>
      </w:r>
      <w:r>
        <w:rPr>
          <w:rFonts w:hint="eastAsia" w:ascii="仿宋" w:hAnsi="仿宋" w:eastAsia="仿宋" w:cs="黑体"/>
          <w:sz w:val="32"/>
          <w:szCs w:val="32"/>
        </w:rPr>
        <w:t>中国语言文学</w:t>
      </w:r>
    </w:p>
    <w:p>
      <w:pPr>
        <w:pageBreakBefore w:val="0"/>
        <w:kinsoku/>
        <w:wordWrap/>
        <w:overflowPunct/>
        <w:topLinePunct w:val="0"/>
        <w:bidi w:val="0"/>
        <w:snapToGrid/>
        <w:spacing w:line="600" w:lineRule="exact"/>
        <w:ind w:firstLine="636"/>
        <w:textAlignment w:val="auto"/>
        <w:rPr>
          <w:rFonts w:ascii="仿宋" w:hAnsi="仿宋" w:eastAsia="仿宋" w:cs="黑体"/>
          <w:sz w:val="32"/>
          <w:szCs w:val="32"/>
        </w:rPr>
      </w:pPr>
      <w:r>
        <w:rPr>
          <w:rFonts w:hint="eastAsia" w:ascii="仿宋" w:hAnsi="仿宋" w:eastAsia="仿宋" w:cs="黑体"/>
          <w:bCs/>
          <w:sz w:val="32"/>
          <w:szCs w:val="32"/>
        </w:rPr>
        <w:t>塔里木大学：</w:t>
      </w:r>
      <w:r>
        <w:rPr>
          <w:rFonts w:hint="eastAsia" w:ascii="仿宋" w:hAnsi="仿宋" w:eastAsia="仿宋" w:cs="黑体"/>
          <w:sz w:val="32"/>
          <w:szCs w:val="32"/>
        </w:rPr>
        <w:t>生物学、园艺学</w:t>
      </w:r>
    </w:p>
    <w:p>
      <w:pPr>
        <w:pageBreakBefore w:val="0"/>
        <w:kinsoku/>
        <w:wordWrap/>
        <w:overflowPunct/>
        <w:topLinePunct w:val="0"/>
        <w:bidi w:val="0"/>
        <w:snapToGrid/>
        <w:spacing w:line="600" w:lineRule="exact"/>
        <w:ind w:firstLine="636"/>
        <w:textAlignment w:val="auto"/>
        <w:rPr>
          <w:rFonts w:ascii="仿宋" w:hAnsi="仿宋" w:eastAsia="仿宋" w:cs="黑体"/>
          <w:sz w:val="32"/>
          <w:szCs w:val="32"/>
        </w:rPr>
      </w:pPr>
      <w:r>
        <w:rPr>
          <w:rFonts w:hint="eastAsia" w:ascii="仿宋" w:hAnsi="仿宋" w:eastAsia="仿宋" w:cs="黑体"/>
          <w:bCs/>
          <w:sz w:val="32"/>
          <w:szCs w:val="32"/>
        </w:rPr>
        <w:t>伊犁师范学院：</w:t>
      </w:r>
      <w:r>
        <w:rPr>
          <w:rFonts w:hint="eastAsia" w:ascii="仿宋" w:hAnsi="仿宋" w:eastAsia="仿宋" w:cs="黑体"/>
          <w:sz w:val="32"/>
          <w:szCs w:val="32"/>
        </w:rPr>
        <w:t>物理学</w:t>
      </w:r>
    </w:p>
    <w:p>
      <w:pPr>
        <w:pageBreakBefore w:val="0"/>
        <w:kinsoku/>
        <w:wordWrap/>
        <w:overflowPunct/>
        <w:topLinePunct w:val="0"/>
        <w:bidi w:val="0"/>
        <w:snapToGrid/>
        <w:spacing w:line="600" w:lineRule="exact"/>
        <w:textAlignment w:val="auto"/>
        <w:rPr>
          <w:rFonts w:ascii="楷体" w:hAnsi="楷体" w:eastAsia="楷体" w:cs="黑体"/>
          <w:bCs/>
          <w:sz w:val="32"/>
          <w:szCs w:val="32"/>
        </w:rPr>
      </w:pPr>
      <w:r>
        <w:rPr>
          <w:rFonts w:hint="eastAsia" w:ascii="仿宋" w:hAnsi="仿宋" w:eastAsia="仿宋" w:cs="黑体"/>
          <w:sz w:val="32"/>
          <w:szCs w:val="32"/>
        </w:rPr>
        <w:t xml:space="preserve">  </w:t>
      </w:r>
      <w:r>
        <w:rPr>
          <w:rFonts w:hint="eastAsia" w:ascii="楷体" w:hAnsi="楷体" w:eastAsia="楷体" w:cs="黑体"/>
          <w:bCs/>
          <w:sz w:val="32"/>
          <w:szCs w:val="32"/>
        </w:rPr>
        <w:t xml:space="preserve">  3.特别扶持学科</w:t>
      </w:r>
    </w:p>
    <w:p>
      <w:pPr>
        <w:pageBreakBefore w:val="0"/>
        <w:kinsoku/>
        <w:wordWrap/>
        <w:overflowPunct/>
        <w:topLinePunct w:val="0"/>
        <w:bidi w:val="0"/>
        <w:snapToGrid/>
        <w:spacing w:line="600" w:lineRule="exact"/>
        <w:ind w:firstLine="648"/>
        <w:textAlignment w:val="auto"/>
        <w:rPr>
          <w:rFonts w:ascii="仿宋" w:hAnsi="仿宋" w:eastAsia="仿宋" w:cs="黑体"/>
          <w:sz w:val="32"/>
          <w:szCs w:val="32"/>
        </w:rPr>
      </w:pPr>
      <w:r>
        <w:rPr>
          <w:rFonts w:hint="eastAsia" w:ascii="仿宋" w:hAnsi="仿宋" w:eastAsia="仿宋" w:cs="黑体"/>
          <w:bCs/>
          <w:sz w:val="32"/>
          <w:szCs w:val="32"/>
        </w:rPr>
        <w:t>新疆艺术学院：</w:t>
      </w:r>
      <w:r>
        <w:rPr>
          <w:rFonts w:hint="eastAsia" w:ascii="仿宋" w:hAnsi="仿宋" w:eastAsia="仿宋" w:cs="黑体"/>
          <w:sz w:val="32"/>
          <w:szCs w:val="32"/>
        </w:rPr>
        <w:t>音乐与舞蹈学</w:t>
      </w:r>
    </w:p>
    <w:p>
      <w:pPr>
        <w:pageBreakBefore w:val="0"/>
        <w:kinsoku/>
        <w:wordWrap/>
        <w:overflowPunct/>
        <w:topLinePunct w:val="0"/>
        <w:bidi w:val="0"/>
        <w:snapToGrid/>
        <w:spacing w:line="600" w:lineRule="exact"/>
        <w:ind w:firstLine="648"/>
        <w:textAlignment w:val="auto"/>
        <w:rPr>
          <w:rFonts w:ascii="仿宋" w:hAnsi="仿宋" w:eastAsia="仿宋" w:cs="黑体"/>
          <w:sz w:val="32"/>
          <w:szCs w:val="32"/>
        </w:rPr>
      </w:pPr>
      <w:r>
        <w:rPr>
          <w:rFonts w:hint="eastAsia" w:ascii="仿宋" w:hAnsi="仿宋" w:eastAsia="仿宋" w:cs="黑体"/>
          <w:bCs/>
          <w:sz w:val="32"/>
          <w:szCs w:val="32"/>
        </w:rPr>
        <w:t>喀什大学：</w:t>
      </w:r>
      <w:r>
        <w:rPr>
          <w:rFonts w:hint="eastAsia" w:ascii="仿宋" w:hAnsi="仿宋" w:eastAsia="仿宋" w:cs="黑体"/>
          <w:sz w:val="32"/>
          <w:szCs w:val="32"/>
        </w:rPr>
        <w:t>教育学、化学</w:t>
      </w:r>
    </w:p>
    <w:p>
      <w:pPr>
        <w:pageBreakBefore w:val="0"/>
        <w:kinsoku/>
        <w:wordWrap/>
        <w:overflowPunct/>
        <w:topLinePunct w:val="0"/>
        <w:bidi w:val="0"/>
        <w:snapToGrid/>
        <w:spacing w:line="600" w:lineRule="exact"/>
        <w:ind w:firstLine="648"/>
        <w:textAlignment w:val="auto"/>
        <w:rPr>
          <w:rFonts w:ascii="仿宋" w:hAnsi="仿宋" w:eastAsia="仿宋" w:cs="黑体"/>
          <w:sz w:val="32"/>
          <w:szCs w:val="32"/>
        </w:rPr>
      </w:pPr>
      <w:r>
        <w:rPr>
          <w:rFonts w:hint="eastAsia" w:ascii="仿宋" w:hAnsi="仿宋" w:eastAsia="仿宋" w:cs="黑体"/>
          <w:bCs/>
          <w:sz w:val="32"/>
          <w:szCs w:val="32"/>
        </w:rPr>
        <w:t>塔里木大学：</w:t>
      </w:r>
      <w:r>
        <w:rPr>
          <w:rFonts w:hint="eastAsia" w:ascii="仿宋" w:hAnsi="仿宋" w:eastAsia="仿宋" w:cs="黑体"/>
          <w:sz w:val="32"/>
          <w:szCs w:val="32"/>
        </w:rPr>
        <w:t>作物学、兽医学</w:t>
      </w:r>
    </w:p>
    <w:p>
      <w:pPr>
        <w:pageBreakBefore w:val="0"/>
        <w:kinsoku/>
        <w:wordWrap/>
        <w:overflowPunct/>
        <w:topLinePunct w:val="0"/>
        <w:bidi w:val="0"/>
        <w:snapToGrid/>
        <w:spacing w:line="600" w:lineRule="exact"/>
        <w:ind w:firstLine="648"/>
        <w:textAlignment w:val="auto"/>
        <w:rPr>
          <w:rFonts w:ascii="仿宋" w:hAnsi="仿宋" w:eastAsia="仿宋" w:cs="黑体"/>
          <w:sz w:val="32"/>
          <w:szCs w:val="32"/>
        </w:rPr>
      </w:pPr>
      <w:r>
        <w:rPr>
          <w:rFonts w:hint="eastAsia" w:ascii="仿宋" w:hAnsi="仿宋" w:eastAsia="仿宋" w:cs="黑体"/>
          <w:bCs/>
          <w:sz w:val="32"/>
          <w:szCs w:val="32"/>
        </w:rPr>
        <w:t>伊犁师范学院：</w:t>
      </w:r>
      <w:r>
        <w:rPr>
          <w:rFonts w:hint="eastAsia" w:ascii="仿宋" w:hAnsi="仿宋" w:eastAsia="仿宋" w:cs="黑体"/>
          <w:sz w:val="32"/>
          <w:szCs w:val="32"/>
        </w:rPr>
        <w:t>中国语言文学、数学</w:t>
      </w:r>
    </w:p>
    <w:p>
      <w:pPr>
        <w:pageBreakBefore w:val="0"/>
        <w:kinsoku/>
        <w:wordWrap/>
        <w:overflowPunct/>
        <w:topLinePunct w:val="0"/>
        <w:bidi w:val="0"/>
        <w:snapToGrid/>
        <w:spacing w:line="600" w:lineRule="exact"/>
        <w:ind w:firstLine="648"/>
        <w:textAlignment w:val="auto"/>
        <w:rPr>
          <w:rFonts w:ascii="仿宋" w:hAnsi="仿宋" w:eastAsia="仿宋" w:cs="黑体"/>
          <w:sz w:val="32"/>
          <w:szCs w:val="32"/>
        </w:rPr>
      </w:pPr>
      <w:r>
        <w:rPr>
          <w:rFonts w:hint="eastAsia" w:ascii="仿宋" w:hAnsi="仿宋" w:eastAsia="仿宋" w:cs="黑体"/>
          <w:bCs/>
          <w:sz w:val="32"/>
          <w:szCs w:val="32"/>
        </w:rPr>
        <w:t>昌吉学院：</w:t>
      </w:r>
      <w:r>
        <w:rPr>
          <w:rFonts w:hint="eastAsia" w:ascii="仿宋" w:hAnsi="仿宋" w:eastAsia="仿宋" w:cs="黑体"/>
          <w:sz w:val="32"/>
          <w:szCs w:val="32"/>
        </w:rPr>
        <w:t>材料科学与工程</w:t>
      </w:r>
    </w:p>
    <w:p>
      <w:pPr>
        <w:pageBreakBefore w:val="0"/>
        <w:kinsoku/>
        <w:wordWrap/>
        <w:overflowPunct/>
        <w:topLinePunct w:val="0"/>
        <w:bidi w:val="0"/>
        <w:snapToGrid/>
        <w:spacing w:line="600" w:lineRule="exact"/>
        <w:ind w:firstLine="648"/>
        <w:textAlignment w:val="auto"/>
        <w:rPr>
          <w:rFonts w:ascii="仿宋" w:hAnsi="仿宋" w:eastAsia="仿宋" w:cs="黑体"/>
          <w:sz w:val="32"/>
          <w:szCs w:val="32"/>
        </w:rPr>
      </w:pPr>
      <w:r>
        <w:rPr>
          <w:rFonts w:hint="eastAsia" w:ascii="仿宋" w:hAnsi="仿宋" w:eastAsia="仿宋" w:cs="黑体"/>
          <w:bCs/>
          <w:sz w:val="32"/>
          <w:szCs w:val="32"/>
        </w:rPr>
        <w:t>中国石油大学（北京）克拉玛依校区：</w:t>
      </w:r>
      <w:r>
        <w:rPr>
          <w:rFonts w:hint="eastAsia" w:ascii="仿宋" w:hAnsi="仿宋" w:eastAsia="仿宋" w:cs="黑体"/>
          <w:sz w:val="32"/>
          <w:szCs w:val="32"/>
        </w:rPr>
        <w:t>地质资源与地质工程</w:t>
      </w:r>
    </w:p>
    <w:p>
      <w:pPr>
        <w:pageBreakBefore w:val="0"/>
        <w:kinsoku/>
        <w:wordWrap/>
        <w:overflowPunct/>
        <w:topLinePunct w:val="0"/>
        <w:bidi w:val="0"/>
        <w:snapToGrid/>
        <w:spacing w:line="600" w:lineRule="exact"/>
        <w:ind w:firstLine="640" w:firstLineChars="200"/>
        <w:textAlignment w:val="auto"/>
        <w:rPr>
          <w:rFonts w:ascii="楷体" w:hAnsi="楷体" w:eastAsia="楷体"/>
          <w:sz w:val="32"/>
          <w:szCs w:val="32"/>
        </w:rPr>
      </w:pPr>
      <w:r>
        <w:rPr>
          <w:rFonts w:hint="eastAsia" w:ascii="楷体" w:hAnsi="楷体" w:eastAsia="楷体"/>
          <w:sz w:val="32"/>
          <w:szCs w:val="32"/>
        </w:rPr>
        <w:t>（三）重点专业及重点产业紧缺人才专业</w:t>
      </w:r>
    </w:p>
    <w:p>
      <w:pPr>
        <w:pageBreakBefore w:val="0"/>
        <w:kinsoku/>
        <w:wordWrap/>
        <w:overflowPunct/>
        <w:topLinePunct w:val="0"/>
        <w:bidi w:val="0"/>
        <w:snapToGrid/>
        <w:spacing w:line="600" w:lineRule="exact"/>
        <w:ind w:firstLine="627" w:firstLineChars="196"/>
        <w:textAlignment w:val="auto"/>
        <w:rPr>
          <w:rFonts w:ascii="仿宋" w:hAnsi="仿宋" w:eastAsia="仿宋"/>
          <w:sz w:val="32"/>
          <w:szCs w:val="32"/>
        </w:rPr>
      </w:pPr>
      <w:r>
        <w:rPr>
          <w:rFonts w:hint="eastAsia" w:ascii="仿宋" w:hAnsi="仿宋" w:eastAsia="仿宋"/>
          <w:sz w:val="32"/>
          <w:szCs w:val="32"/>
        </w:rPr>
        <w:t>新疆大学：机械工程、化学工程与工艺、数学与应用数学、中国少数民族语言文学、电子信息工程、信息安全、软件工程、新闻学、资源勘查工程、勘查技术与工程、采矿工程、建筑学、土木工程、电器工程及其自动化、热能与动力工程、纺织工程、机械工程及自动化、能源化学工程、测绘工程、交通工程、</w:t>
      </w:r>
      <w:r>
        <w:rPr>
          <w:rFonts w:hint="eastAsia" w:ascii="仿宋" w:hAnsi="仿宋" w:eastAsia="仿宋"/>
          <w:spacing w:val="-10"/>
          <w:sz w:val="32"/>
          <w:szCs w:val="32"/>
        </w:rPr>
        <w:t>俄语（国际经济与贸易）、</w:t>
      </w:r>
      <w:r>
        <w:rPr>
          <w:rFonts w:hint="eastAsia" w:ascii="仿宋" w:hAnsi="仿宋" w:eastAsia="仿宋"/>
          <w:sz w:val="32"/>
          <w:szCs w:val="32"/>
        </w:rPr>
        <w:t>城市规划、过程装备与控制工程、自动化、旅游管理</w:t>
      </w:r>
    </w:p>
    <w:p>
      <w:pPr>
        <w:pageBreakBefore w:val="0"/>
        <w:kinsoku/>
        <w:wordWrap/>
        <w:overflowPunct/>
        <w:topLinePunct w:val="0"/>
        <w:bidi w:val="0"/>
        <w:snapToGrid/>
        <w:spacing w:line="600" w:lineRule="exact"/>
        <w:ind w:firstLine="627" w:firstLineChars="196"/>
        <w:textAlignment w:val="auto"/>
        <w:rPr>
          <w:rFonts w:hint="eastAsia" w:ascii="仿宋" w:hAnsi="仿宋" w:eastAsia="仿宋"/>
          <w:sz w:val="32"/>
          <w:szCs w:val="32"/>
        </w:rPr>
      </w:pPr>
      <w:r>
        <w:rPr>
          <w:rFonts w:hint="eastAsia" w:ascii="仿宋" w:hAnsi="仿宋" w:eastAsia="仿宋"/>
          <w:sz w:val="32"/>
          <w:szCs w:val="32"/>
        </w:rPr>
        <w:t>新疆农业大学：水利水电工程、葡萄与葡萄酒工程、物联网工程、国际经济与贸易、动物医学、林学（林果病虫害防治）、动物科学、种子科学与工程、食品科学与工程、农业水利工程、</w:t>
      </w:r>
      <w:r>
        <w:rPr>
          <w:rFonts w:hint="eastAsia" w:ascii="仿宋" w:hAnsi="仿宋" w:eastAsia="仿宋"/>
          <w:spacing w:val="-10"/>
          <w:sz w:val="32"/>
          <w:szCs w:val="32"/>
        </w:rPr>
        <w:t>农业机械化及其自动化、</w:t>
      </w:r>
      <w:r>
        <w:rPr>
          <w:rFonts w:hint="eastAsia" w:ascii="仿宋" w:hAnsi="仿宋" w:eastAsia="仿宋"/>
          <w:sz w:val="32"/>
          <w:szCs w:val="32"/>
        </w:rPr>
        <w:t>农业资源与环境、设施农业科学与工程、机械设计制造及其自动化</w:t>
      </w:r>
      <w:r>
        <w:rPr>
          <w:rFonts w:hint="eastAsia" w:ascii="仿宋" w:hAnsi="仿宋" w:eastAsia="仿宋"/>
          <w:sz w:val="32"/>
          <w:szCs w:val="32"/>
          <w:lang w:eastAsia="zh-CN"/>
        </w:rPr>
        <w:t>、</w:t>
      </w:r>
      <w:r>
        <w:rPr>
          <w:rFonts w:hint="eastAsia" w:ascii="仿宋" w:hAnsi="仿宋" w:eastAsia="仿宋"/>
          <w:sz w:val="32"/>
          <w:szCs w:val="32"/>
          <w:lang w:val="en-US" w:eastAsia="zh-CN"/>
        </w:rPr>
        <w:t>园艺</w:t>
      </w:r>
    </w:p>
    <w:p>
      <w:pPr>
        <w:pageBreakBefore w:val="0"/>
        <w:kinsoku/>
        <w:wordWrap/>
        <w:overflowPunct/>
        <w:topLinePunct w:val="0"/>
        <w:bidi w:val="0"/>
        <w:snapToGrid/>
        <w:spacing w:line="600" w:lineRule="exact"/>
        <w:ind w:firstLine="627" w:firstLineChars="196"/>
        <w:textAlignment w:val="auto"/>
        <w:rPr>
          <w:rFonts w:hint="eastAsia" w:ascii="仿宋" w:hAnsi="仿宋" w:eastAsia="仿宋"/>
          <w:sz w:val="32"/>
          <w:szCs w:val="32"/>
        </w:rPr>
      </w:pPr>
      <w:r>
        <w:rPr>
          <w:rFonts w:hint="eastAsia" w:ascii="仿宋" w:hAnsi="仿宋" w:eastAsia="仿宋"/>
          <w:sz w:val="32"/>
          <w:szCs w:val="32"/>
        </w:rPr>
        <w:t>新疆医科大学：预防医学、临床医学、药学、口腔学、维吾尔医学、护理学</w:t>
      </w:r>
      <w:r>
        <w:rPr>
          <w:rFonts w:hint="eastAsia" w:ascii="仿宋" w:hAnsi="仿宋" w:eastAsia="仿宋"/>
          <w:sz w:val="32"/>
          <w:szCs w:val="32"/>
          <w:lang w:eastAsia="zh-CN"/>
        </w:rPr>
        <w:t>、</w:t>
      </w:r>
      <w:r>
        <w:rPr>
          <w:rFonts w:hint="eastAsia" w:ascii="仿宋" w:hAnsi="仿宋" w:eastAsia="仿宋"/>
          <w:sz w:val="32"/>
          <w:szCs w:val="32"/>
          <w:lang w:val="en-US" w:eastAsia="zh-CN"/>
        </w:rPr>
        <w:t>中医学</w:t>
      </w:r>
    </w:p>
    <w:p>
      <w:pPr>
        <w:pageBreakBefore w:val="0"/>
        <w:kinsoku/>
        <w:wordWrap/>
        <w:overflowPunct/>
        <w:topLinePunct w:val="0"/>
        <w:bidi w:val="0"/>
        <w:snapToGrid/>
        <w:spacing w:line="600" w:lineRule="exact"/>
        <w:ind w:firstLine="627" w:firstLineChars="196"/>
        <w:textAlignment w:val="auto"/>
        <w:rPr>
          <w:rFonts w:hint="eastAsia" w:ascii="仿宋" w:hAnsi="仿宋" w:eastAsia="仿宋"/>
          <w:sz w:val="32"/>
          <w:szCs w:val="32"/>
        </w:rPr>
      </w:pPr>
      <w:r>
        <w:rPr>
          <w:rFonts w:hint="eastAsia" w:ascii="仿宋" w:hAnsi="仿宋" w:eastAsia="仿宋"/>
          <w:sz w:val="32"/>
          <w:szCs w:val="32"/>
        </w:rPr>
        <w:t>新疆师范大学：体育教育、视觉传达设计、数字媒体艺术、化学工程与工艺、中国少数民族语言文学（维吾尔语）、学前教育、特殊教育、对外汉语</w:t>
      </w:r>
      <w:r>
        <w:rPr>
          <w:rFonts w:hint="eastAsia" w:ascii="仿宋" w:hAnsi="仿宋" w:eastAsia="仿宋"/>
          <w:sz w:val="32"/>
          <w:szCs w:val="32"/>
          <w:lang w:eastAsia="zh-CN"/>
        </w:rPr>
        <w:t>、</w:t>
      </w:r>
      <w:r>
        <w:rPr>
          <w:rFonts w:hint="eastAsia" w:ascii="仿宋" w:hAnsi="仿宋" w:eastAsia="仿宋"/>
          <w:sz w:val="32"/>
          <w:szCs w:val="32"/>
          <w:lang w:val="en-US" w:eastAsia="zh-CN"/>
        </w:rPr>
        <w:t>旅游管理、教育学类</w:t>
      </w:r>
    </w:p>
    <w:p>
      <w:pPr>
        <w:pageBreakBefore w:val="0"/>
        <w:kinsoku/>
        <w:wordWrap/>
        <w:overflowPunct/>
        <w:topLinePunct w:val="0"/>
        <w:bidi w:val="0"/>
        <w:snapToGrid/>
        <w:spacing w:line="600" w:lineRule="exact"/>
        <w:ind w:firstLine="627" w:firstLineChars="196"/>
        <w:textAlignment w:val="auto"/>
        <w:rPr>
          <w:rFonts w:hint="eastAsia" w:ascii="仿宋" w:hAnsi="仿宋" w:eastAsia="仿宋"/>
          <w:sz w:val="32"/>
          <w:szCs w:val="32"/>
        </w:rPr>
      </w:pPr>
      <w:r>
        <w:rPr>
          <w:rFonts w:hint="eastAsia" w:ascii="仿宋" w:hAnsi="仿宋" w:eastAsia="仿宋"/>
          <w:sz w:val="32"/>
          <w:szCs w:val="32"/>
        </w:rPr>
        <w:t>新疆财经大学：金融学（专业大类）、会计学、物流管理、国际商务、旅游管理（旅游产品开发与管理特色）</w:t>
      </w:r>
      <w:r>
        <w:rPr>
          <w:rFonts w:hint="eastAsia" w:ascii="仿宋" w:hAnsi="仿宋" w:eastAsia="仿宋"/>
          <w:sz w:val="32"/>
          <w:szCs w:val="32"/>
          <w:lang w:eastAsia="zh-CN"/>
        </w:rPr>
        <w:t>、</w:t>
      </w:r>
      <w:r>
        <w:rPr>
          <w:rFonts w:hint="eastAsia" w:ascii="仿宋" w:hAnsi="仿宋" w:eastAsia="仿宋"/>
          <w:sz w:val="32"/>
          <w:szCs w:val="32"/>
          <w:lang w:val="en-US" w:eastAsia="zh-CN"/>
        </w:rPr>
        <w:t>工商管理</w:t>
      </w:r>
    </w:p>
    <w:p>
      <w:pPr>
        <w:pageBreakBefore w:val="0"/>
        <w:kinsoku/>
        <w:wordWrap/>
        <w:overflowPunct/>
        <w:topLinePunct w:val="0"/>
        <w:bidi w:val="0"/>
        <w:snapToGrid/>
        <w:spacing w:line="600" w:lineRule="exact"/>
        <w:ind w:firstLine="627" w:firstLineChars="196"/>
        <w:textAlignment w:val="auto"/>
        <w:rPr>
          <w:rFonts w:hint="eastAsia" w:ascii="仿宋" w:hAnsi="仿宋" w:eastAsia="仿宋"/>
          <w:sz w:val="32"/>
          <w:szCs w:val="32"/>
        </w:rPr>
      </w:pPr>
      <w:r>
        <w:rPr>
          <w:rFonts w:hint="eastAsia" w:ascii="仿宋" w:hAnsi="仿宋" w:eastAsia="仿宋"/>
          <w:sz w:val="32"/>
          <w:szCs w:val="32"/>
        </w:rPr>
        <w:t>喀什大学：数字媒体技术、学前教育、环境科学</w:t>
      </w:r>
    </w:p>
    <w:p>
      <w:pPr>
        <w:pageBreakBefore w:val="0"/>
        <w:kinsoku/>
        <w:wordWrap/>
        <w:overflowPunct/>
        <w:topLinePunct w:val="0"/>
        <w:bidi w:val="0"/>
        <w:snapToGrid/>
        <w:spacing w:line="600" w:lineRule="exact"/>
        <w:ind w:firstLine="627" w:firstLineChars="196"/>
        <w:textAlignment w:val="auto"/>
        <w:rPr>
          <w:rFonts w:hint="eastAsia" w:ascii="仿宋" w:hAnsi="仿宋" w:eastAsia="仿宋"/>
          <w:sz w:val="32"/>
          <w:szCs w:val="32"/>
        </w:rPr>
      </w:pPr>
      <w:r>
        <w:rPr>
          <w:rFonts w:hint="eastAsia" w:ascii="仿宋" w:hAnsi="仿宋" w:eastAsia="仿宋"/>
          <w:sz w:val="32"/>
          <w:szCs w:val="32"/>
        </w:rPr>
        <w:t>新疆艺术学院：动画、舞蹈学</w:t>
      </w:r>
    </w:p>
    <w:p>
      <w:pPr>
        <w:pageBreakBefore w:val="0"/>
        <w:kinsoku/>
        <w:wordWrap/>
        <w:overflowPunct/>
        <w:topLinePunct w:val="0"/>
        <w:bidi w:val="0"/>
        <w:snapToGrid/>
        <w:spacing w:line="600" w:lineRule="exact"/>
        <w:ind w:firstLine="627" w:firstLineChars="196"/>
        <w:textAlignment w:val="auto"/>
        <w:rPr>
          <w:rFonts w:hint="eastAsia" w:ascii="仿宋" w:hAnsi="仿宋" w:eastAsia="仿宋"/>
          <w:sz w:val="32"/>
          <w:szCs w:val="32"/>
        </w:rPr>
      </w:pPr>
      <w:r>
        <w:rPr>
          <w:rFonts w:hint="eastAsia" w:ascii="仿宋" w:hAnsi="仿宋" w:eastAsia="仿宋"/>
          <w:sz w:val="32"/>
          <w:szCs w:val="32"/>
        </w:rPr>
        <w:t>伊犁师范学院：应用化学、生物科学、应用物理学、电气工程及其自动化</w:t>
      </w:r>
    </w:p>
    <w:p>
      <w:pPr>
        <w:pageBreakBefore w:val="0"/>
        <w:kinsoku/>
        <w:wordWrap/>
        <w:overflowPunct/>
        <w:topLinePunct w:val="0"/>
        <w:bidi w:val="0"/>
        <w:snapToGrid/>
        <w:spacing w:line="600" w:lineRule="exact"/>
        <w:ind w:firstLine="627" w:firstLineChars="196"/>
        <w:textAlignment w:val="auto"/>
        <w:rPr>
          <w:rFonts w:ascii="仿宋" w:hAnsi="仿宋" w:eastAsia="仿宋"/>
          <w:sz w:val="32"/>
          <w:szCs w:val="32"/>
        </w:rPr>
      </w:pPr>
      <w:r>
        <w:rPr>
          <w:rFonts w:hint="eastAsia" w:ascii="仿宋" w:hAnsi="仿宋" w:eastAsia="仿宋"/>
          <w:sz w:val="32"/>
          <w:szCs w:val="32"/>
        </w:rPr>
        <w:t>昌吉学院：能源与动力工程、计算机科学与技术、能源工程及自动化</w:t>
      </w:r>
      <w:r>
        <w:rPr>
          <w:rFonts w:hint="eastAsia" w:ascii="仿宋" w:hAnsi="仿宋" w:eastAsia="仿宋"/>
          <w:sz w:val="32"/>
          <w:szCs w:val="32"/>
          <w:lang w:eastAsia="zh-CN"/>
        </w:rPr>
        <w:t>、</w:t>
      </w:r>
      <w:r>
        <w:rPr>
          <w:rFonts w:hint="eastAsia" w:ascii="仿宋" w:hAnsi="仿宋" w:eastAsia="仿宋"/>
          <w:sz w:val="32"/>
          <w:szCs w:val="32"/>
          <w:lang w:val="en-US" w:eastAsia="zh-CN"/>
        </w:rPr>
        <w:t>网络与新媒体</w:t>
      </w:r>
    </w:p>
    <w:p>
      <w:pPr>
        <w:pageBreakBefore w:val="0"/>
        <w:kinsoku/>
        <w:wordWrap/>
        <w:overflowPunct/>
        <w:topLinePunct w:val="0"/>
        <w:bidi w:val="0"/>
        <w:snapToGrid/>
        <w:spacing w:line="600" w:lineRule="exact"/>
        <w:ind w:firstLine="627" w:firstLineChars="196"/>
        <w:textAlignment w:val="auto"/>
        <w:rPr>
          <w:rFonts w:hint="eastAsia" w:ascii="仿宋" w:hAnsi="仿宋" w:eastAsia="仿宋"/>
          <w:sz w:val="32"/>
          <w:szCs w:val="32"/>
        </w:rPr>
      </w:pPr>
      <w:r>
        <w:rPr>
          <w:rFonts w:hint="eastAsia" w:ascii="仿宋" w:hAnsi="仿宋" w:eastAsia="仿宋"/>
          <w:sz w:val="32"/>
          <w:szCs w:val="32"/>
        </w:rPr>
        <w:t>新疆工程学院：安全工程、地质工程、煤矿开采技术、矿山机电、矿井通风与安全、工程测量技术、矿山地质、煤化工生产技术</w:t>
      </w:r>
    </w:p>
    <w:p>
      <w:pPr>
        <w:pageBreakBefore w:val="0"/>
        <w:kinsoku/>
        <w:wordWrap/>
        <w:overflowPunct/>
        <w:topLinePunct w:val="0"/>
        <w:bidi w:val="0"/>
        <w:snapToGrid/>
        <w:spacing w:line="600" w:lineRule="exact"/>
        <w:ind w:firstLine="627" w:firstLineChars="196"/>
        <w:textAlignment w:val="auto"/>
        <w:rPr>
          <w:rFonts w:hint="eastAsia" w:ascii="仿宋" w:hAnsi="仿宋" w:eastAsia="仿宋"/>
          <w:sz w:val="32"/>
          <w:szCs w:val="32"/>
        </w:rPr>
      </w:pPr>
      <w:r>
        <w:rPr>
          <w:rFonts w:hint="eastAsia" w:ascii="仿宋" w:hAnsi="仿宋" w:eastAsia="仿宋"/>
          <w:sz w:val="32"/>
          <w:szCs w:val="32"/>
        </w:rPr>
        <w:t>新疆警察学院：治安学</w:t>
      </w:r>
      <w:r>
        <w:rPr>
          <w:rFonts w:hint="eastAsia" w:ascii="仿宋" w:hAnsi="仿宋" w:eastAsia="仿宋"/>
          <w:sz w:val="32"/>
          <w:szCs w:val="32"/>
          <w:lang w:eastAsia="zh-CN"/>
        </w:rPr>
        <w:t>、</w:t>
      </w:r>
      <w:r>
        <w:rPr>
          <w:rFonts w:hint="eastAsia" w:ascii="仿宋" w:hAnsi="仿宋" w:eastAsia="仿宋"/>
          <w:sz w:val="32"/>
          <w:szCs w:val="32"/>
          <w:lang w:val="en-US" w:eastAsia="zh-CN"/>
        </w:rPr>
        <w:t>侦查学</w:t>
      </w:r>
    </w:p>
    <w:p>
      <w:pPr>
        <w:pageBreakBefore w:val="0"/>
        <w:kinsoku/>
        <w:wordWrap/>
        <w:overflowPunct/>
        <w:topLinePunct w:val="0"/>
        <w:bidi w:val="0"/>
        <w:snapToGrid/>
        <w:spacing w:line="600" w:lineRule="exact"/>
        <w:ind w:firstLine="627" w:firstLineChars="196"/>
        <w:textAlignment w:val="auto"/>
        <w:rPr>
          <w:rFonts w:hint="eastAsia" w:ascii="仿宋" w:hAnsi="仿宋" w:eastAsia="仿宋"/>
          <w:sz w:val="32"/>
          <w:szCs w:val="32"/>
        </w:rPr>
      </w:pPr>
      <w:r>
        <w:rPr>
          <w:rFonts w:hint="eastAsia" w:ascii="仿宋" w:hAnsi="仿宋" w:eastAsia="仿宋"/>
          <w:sz w:val="32"/>
          <w:szCs w:val="32"/>
        </w:rPr>
        <w:t>中国石油大学（北京）克拉玛依校区：化学工程与工艺</w:t>
      </w:r>
      <w:r>
        <w:rPr>
          <w:rFonts w:hint="eastAsia" w:ascii="仿宋" w:hAnsi="仿宋" w:eastAsia="仿宋"/>
          <w:sz w:val="32"/>
          <w:szCs w:val="32"/>
          <w:lang w:eastAsia="zh-CN"/>
        </w:rPr>
        <w:t>、</w:t>
      </w:r>
      <w:r>
        <w:rPr>
          <w:rFonts w:hint="eastAsia" w:ascii="仿宋" w:hAnsi="仿宋" w:eastAsia="仿宋"/>
          <w:sz w:val="32"/>
          <w:szCs w:val="32"/>
          <w:lang w:val="en-US" w:eastAsia="zh-CN"/>
        </w:rPr>
        <w:t>石油工程</w:t>
      </w:r>
    </w:p>
    <w:p>
      <w:pPr>
        <w:pageBreakBefore w:val="0"/>
        <w:kinsoku/>
        <w:wordWrap/>
        <w:overflowPunct/>
        <w:topLinePunct w:val="0"/>
        <w:bidi w:val="0"/>
        <w:snapToGrid/>
        <w:spacing w:line="600" w:lineRule="exact"/>
        <w:ind w:firstLine="627" w:firstLineChars="196"/>
        <w:textAlignment w:val="auto"/>
        <w:rPr>
          <w:rFonts w:hint="eastAsia" w:ascii="黑体" w:hAnsi="黑体" w:eastAsia="黑体" w:cs="黑体"/>
          <w:sz w:val="32"/>
          <w:szCs w:val="32"/>
        </w:rPr>
      </w:pPr>
      <w:r>
        <w:rPr>
          <w:rFonts w:hint="eastAsia" w:ascii="黑体" w:hAnsi="黑体" w:eastAsia="黑体" w:cs="黑体"/>
          <w:sz w:val="32"/>
          <w:szCs w:val="32"/>
        </w:rPr>
        <w:t>四</w:t>
      </w:r>
      <w:r>
        <w:rPr>
          <w:rFonts w:hint="eastAsia" w:ascii="黑体" w:hAnsi="黑体" w:eastAsia="黑体" w:cs="黑体"/>
          <w:sz w:val="32"/>
          <w:szCs w:val="32"/>
          <w:lang w:eastAsia="zh-CN"/>
        </w:rPr>
        <w:t>、</w:t>
      </w:r>
      <w:r>
        <w:rPr>
          <w:rFonts w:hint="eastAsia" w:ascii="黑体" w:hAnsi="黑体" w:eastAsia="黑体" w:cs="黑体"/>
          <w:sz w:val="32"/>
          <w:szCs w:val="32"/>
        </w:rPr>
        <w:t>自治区产业技能人才培养专业</w:t>
      </w:r>
    </w:p>
    <w:p>
      <w:pPr>
        <w:pageBreakBefore w:val="0"/>
        <w:kinsoku/>
        <w:wordWrap/>
        <w:overflowPunct/>
        <w:topLinePunct w:val="0"/>
        <w:bidi w:val="0"/>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sz w:val="32"/>
          <w:szCs w:val="32"/>
        </w:rPr>
        <w:t>农林牧渔、资源环境与安全、能源动力与材料、土木建筑、水利、装备制造、生物与化工、轻工纺织、食品药品与粮食、交通运输、电子信息、医药卫生、财经商贸、旅游、文化艺术、公安与司法、新闻传播、公共管理与服务。</w:t>
      </w:r>
    </w:p>
    <w:p>
      <w:pPr>
        <w:pageBreakBefore w:val="0"/>
        <w:kinsoku/>
        <w:wordWrap/>
        <w:overflowPunct/>
        <w:topLinePunct w:val="0"/>
        <w:bidi w:val="0"/>
        <w:snapToGrid/>
        <w:spacing w:line="600" w:lineRule="exact"/>
        <w:ind w:firstLine="627" w:firstLineChars="196"/>
        <w:textAlignment w:val="auto"/>
        <w:rPr>
          <w:rFonts w:ascii="仿宋" w:hAnsi="仿宋" w:eastAsia="仿宋"/>
          <w:sz w:val="32"/>
          <w:szCs w:val="32"/>
        </w:rPr>
      </w:pPr>
    </w:p>
    <w:p>
      <w:pPr>
        <w:pageBreakBefore w:val="0"/>
        <w:kinsoku/>
        <w:wordWrap/>
        <w:overflowPunct/>
        <w:topLinePunct w:val="0"/>
        <w:bidi w:val="0"/>
        <w:snapToGrid/>
        <w:spacing w:line="600" w:lineRule="exact"/>
        <w:ind w:firstLine="627" w:firstLineChars="196"/>
        <w:textAlignment w:val="auto"/>
        <w:rPr>
          <w:rFonts w:ascii="仿宋" w:hAnsi="仿宋" w:eastAsia="仿宋"/>
          <w:sz w:val="32"/>
          <w:szCs w:val="32"/>
        </w:rPr>
      </w:pPr>
    </w:p>
    <w:p>
      <w:pPr>
        <w:pageBreakBefore w:val="0"/>
        <w:kinsoku/>
        <w:wordWrap/>
        <w:overflowPunct/>
        <w:topLinePunct w:val="0"/>
        <w:bidi w:val="0"/>
        <w:snapToGrid/>
        <w:spacing w:line="600" w:lineRule="exact"/>
        <w:ind w:firstLine="627" w:firstLineChars="196"/>
        <w:textAlignment w:val="auto"/>
        <w:rPr>
          <w:rFonts w:ascii="仿宋" w:hAnsi="仿宋" w:eastAsia="仿宋"/>
          <w:sz w:val="32"/>
          <w:szCs w:val="32"/>
        </w:rPr>
      </w:pPr>
    </w:p>
    <w:p>
      <w:pPr>
        <w:pageBreakBefore w:val="0"/>
        <w:kinsoku/>
        <w:wordWrap/>
        <w:overflowPunct/>
        <w:topLinePunct w:val="0"/>
        <w:bidi w:val="0"/>
        <w:snapToGrid/>
        <w:spacing w:line="600" w:lineRule="exact"/>
        <w:ind w:firstLine="627" w:firstLineChars="196"/>
        <w:textAlignment w:val="auto"/>
        <w:rPr>
          <w:rFonts w:ascii="仿宋" w:hAnsi="仿宋" w:eastAsia="仿宋"/>
          <w:sz w:val="32"/>
          <w:szCs w:val="32"/>
        </w:rPr>
      </w:pPr>
    </w:p>
    <w:p>
      <w:pPr>
        <w:pageBreakBefore w:val="0"/>
        <w:kinsoku/>
        <w:wordWrap/>
        <w:overflowPunct/>
        <w:topLinePunct w:val="0"/>
        <w:bidi w:val="0"/>
        <w:snapToGrid/>
        <w:spacing w:line="600" w:lineRule="exact"/>
        <w:ind w:firstLine="627" w:firstLineChars="196"/>
        <w:textAlignment w:val="auto"/>
        <w:rPr>
          <w:rFonts w:ascii="仿宋" w:hAnsi="仿宋" w:eastAsia="仿宋"/>
          <w:sz w:val="32"/>
          <w:szCs w:val="32"/>
        </w:rPr>
      </w:pPr>
    </w:p>
    <w:p>
      <w:pPr>
        <w:pageBreakBefore w:val="0"/>
        <w:kinsoku/>
        <w:wordWrap/>
        <w:overflowPunct/>
        <w:topLinePunct w:val="0"/>
        <w:bidi w:val="0"/>
        <w:snapToGrid/>
        <w:spacing w:line="600" w:lineRule="exact"/>
        <w:ind w:firstLine="627" w:firstLineChars="196"/>
        <w:textAlignment w:val="auto"/>
        <w:rPr>
          <w:rFonts w:ascii="仿宋" w:hAnsi="仿宋" w:eastAsia="仿宋"/>
          <w:sz w:val="32"/>
          <w:szCs w:val="32"/>
        </w:rPr>
      </w:pPr>
    </w:p>
    <w:p>
      <w:pPr>
        <w:pageBreakBefore w:val="0"/>
        <w:kinsoku/>
        <w:wordWrap/>
        <w:overflowPunct/>
        <w:topLinePunct w:val="0"/>
        <w:bidi w:val="0"/>
        <w:snapToGrid/>
        <w:spacing w:line="600" w:lineRule="exact"/>
        <w:ind w:firstLine="627" w:firstLineChars="196"/>
        <w:textAlignment w:val="auto"/>
        <w:rPr>
          <w:rFonts w:ascii="仿宋" w:hAnsi="仿宋" w:eastAsia="仿宋"/>
          <w:sz w:val="32"/>
          <w:szCs w:val="32"/>
        </w:rPr>
      </w:pPr>
    </w:p>
    <w:p>
      <w:pPr>
        <w:pageBreakBefore w:val="0"/>
        <w:kinsoku/>
        <w:wordWrap/>
        <w:overflowPunct/>
        <w:topLinePunct w:val="0"/>
        <w:bidi w:val="0"/>
        <w:snapToGrid/>
        <w:spacing w:line="600" w:lineRule="exact"/>
        <w:ind w:firstLine="627" w:firstLineChars="196"/>
        <w:textAlignment w:val="auto"/>
        <w:rPr>
          <w:rFonts w:ascii="仿宋" w:hAnsi="仿宋" w:eastAsia="仿宋"/>
          <w:sz w:val="32"/>
          <w:szCs w:val="32"/>
        </w:rPr>
      </w:pPr>
    </w:p>
    <w:p>
      <w:pPr>
        <w:pageBreakBefore w:val="0"/>
        <w:kinsoku/>
        <w:wordWrap/>
        <w:overflowPunct/>
        <w:topLinePunct w:val="0"/>
        <w:bidi w:val="0"/>
        <w:snapToGrid/>
        <w:spacing w:line="600" w:lineRule="exact"/>
        <w:ind w:firstLine="627" w:firstLineChars="196"/>
        <w:textAlignment w:val="auto"/>
        <w:rPr>
          <w:rFonts w:ascii="仿宋" w:hAnsi="仿宋" w:eastAsia="仿宋"/>
          <w:sz w:val="32"/>
          <w:szCs w:val="32"/>
        </w:rPr>
      </w:pPr>
    </w:p>
    <w:p>
      <w:pPr>
        <w:pageBreakBefore w:val="0"/>
        <w:kinsoku/>
        <w:wordWrap/>
        <w:overflowPunct/>
        <w:topLinePunct w:val="0"/>
        <w:bidi w:val="0"/>
        <w:snapToGrid/>
        <w:spacing w:line="600" w:lineRule="exact"/>
        <w:ind w:firstLine="627" w:firstLineChars="196"/>
        <w:textAlignment w:val="auto"/>
        <w:rPr>
          <w:rFonts w:ascii="仿宋" w:hAnsi="仿宋" w:eastAsia="仿宋"/>
          <w:sz w:val="32"/>
          <w:szCs w:val="32"/>
        </w:rPr>
      </w:pPr>
    </w:p>
    <w:p>
      <w:pPr>
        <w:pageBreakBefore w:val="0"/>
        <w:kinsoku/>
        <w:wordWrap/>
        <w:overflowPunct/>
        <w:topLinePunct w:val="0"/>
        <w:bidi w:val="0"/>
        <w:snapToGrid/>
        <w:spacing w:line="600" w:lineRule="exact"/>
        <w:textAlignment w:val="auto"/>
        <w:rPr>
          <w:rFonts w:ascii="黑体" w:hAnsi="黑体" w:eastAsia="黑体" w:cs="Arial"/>
          <w:bCs/>
          <w:kern w:val="0"/>
          <w:sz w:val="32"/>
          <w:szCs w:val="32"/>
        </w:rPr>
      </w:pPr>
      <w:r>
        <w:rPr>
          <w:rFonts w:hint="eastAsia" w:ascii="黑体" w:hAnsi="黑体" w:eastAsia="黑体" w:cs="Arial"/>
          <w:bCs/>
          <w:kern w:val="0"/>
          <w:sz w:val="32"/>
          <w:szCs w:val="32"/>
        </w:rPr>
        <w:t>附件</w:t>
      </w:r>
      <w:r>
        <w:rPr>
          <w:rFonts w:ascii="黑体" w:hAnsi="黑体" w:eastAsia="黑体" w:cs="Arial"/>
          <w:bCs/>
          <w:kern w:val="0"/>
          <w:sz w:val="32"/>
          <w:szCs w:val="32"/>
        </w:rPr>
        <w:t>2</w:t>
      </w:r>
    </w:p>
    <w:p>
      <w:pPr>
        <w:pageBreakBefore w:val="0"/>
        <w:kinsoku/>
        <w:wordWrap/>
        <w:overflowPunct/>
        <w:topLinePunct w:val="0"/>
        <w:bidi w:val="0"/>
        <w:snapToGrid/>
        <w:spacing w:line="600" w:lineRule="exact"/>
        <w:textAlignment w:val="auto"/>
        <w:rPr>
          <w:rFonts w:ascii="黑体" w:hAnsi="黑体" w:eastAsia="黑体" w:cs="Arial"/>
          <w:bCs/>
          <w:kern w:val="0"/>
          <w:sz w:val="32"/>
          <w:szCs w:val="32"/>
        </w:rPr>
      </w:pPr>
    </w:p>
    <w:p>
      <w:pPr>
        <w:pageBreakBefore w:val="0"/>
        <w:widowControl/>
        <w:kinsoku/>
        <w:wordWrap/>
        <w:overflowPunct/>
        <w:topLinePunct w:val="0"/>
        <w:bidi w:val="0"/>
        <w:snapToGrid/>
        <w:spacing w:line="600" w:lineRule="exact"/>
        <w:jc w:val="center"/>
        <w:textAlignment w:val="auto"/>
        <w:outlineLvl w:val="0"/>
        <w:rPr>
          <w:rFonts w:ascii="方正小标宋简体" w:hAnsi="宋体" w:eastAsia="方正小标宋简体" w:cs="宋体"/>
          <w:color w:val="000000"/>
          <w:kern w:val="36"/>
          <w:sz w:val="44"/>
          <w:szCs w:val="44"/>
        </w:rPr>
      </w:pPr>
      <w:r>
        <w:rPr>
          <w:rFonts w:hint="eastAsia" w:ascii="方正小标宋简体" w:hAnsi="宋体" w:eastAsia="方正小标宋简体" w:cs="宋体"/>
          <w:color w:val="000000"/>
          <w:kern w:val="36"/>
          <w:sz w:val="44"/>
          <w:szCs w:val="44"/>
        </w:rPr>
        <w:t>西部项目、地方合作项目推选单位</w:t>
      </w:r>
    </w:p>
    <w:p>
      <w:pPr>
        <w:pageBreakBefore w:val="0"/>
        <w:widowControl/>
        <w:kinsoku/>
        <w:wordWrap/>
        <w:overflowPunct/>
        <w:topLinePunct w:val="0"/>
        <w:bidi w:val="0"/>
        <w:snapToGrid/>
        <w:spacing w:line="600" w:lineRule="exact"/>
        <w:jc w:val="center"/>
        <w:textAlignment w:val="auto"/>
        <w:outlineLvl w:val="0"/>
        <w:rPr>
          <w:rFonts w:ascii="方正小标宋简体" w:hAnsi="宋体" w:eastAsia="方正小标宋简体" w:cs="宋体"/>
          <w:color w:val="000000"/>
          <w:kern w:val="36"/>
          <w:sz w:val="44"/>
          <w:szCs w:val="44"/>
        </w:rPr>
      </w:pPr>
      <w:r>
        <w:rPr>
          <w:rFonts w:hint="eastAsia" w:ascii="方正小标宋简体" w:hAnsi="宋体" w:eastAsia="方正小标宋简体" w:cs="宋体"/>
          <w:color w:val="000000"/>
          <w:kern w:val="36"/>
          <w:sz w:val="44"/>
          <w:szCs w:val="44"/>
        </w:rPr>
        <w:t>申报科研团队方式派出的说明</w:t>
      </w:r>
    </w:p>
    <w:p>
      <w:pPr>
        <w:pageBreakBefore w:val="0"/>
        <w:widowControl/>
        <w:kinsoku/>
        <w:wordWrap/>
        <w:overflowPunct/>
        <w:topLinePunct w:val="0"/>
        <w:bidi w:val="0"/>
        <w:snapToGrid/>
        <w:spacing w:line="600" w:lineRule="exact"/>
        <w:jc w:val="center"/>
        <w:textAlignment w:val="auto"/>
        <w:outlineLvl w:val="0"/>
        <w:rPr>
          <w:rFonts w:ascii="方正小标宋简体" w:hAnsi="宋体" w:eastAsia="方正小标宋简体" w:cs="宋体"/>
          <w:color w:val="000000"/>
          <w:kern w:val="36"/>
          <w:sz w:val="44"/>
          <w:szCs w:val="44"/>
        </w:rPr>
      </w:pPr>
    </w:p>
    <w:p>
      <w:pPr>
        <w:pageBreakBefore w:val="0"/>
        <w:widowControl/>
        <w:shd w:val="clear" w:color="auto" w:fill="FFFFFF"/>
        <w:kinsoku/>
        <w:wordWrap/>
        <w:overflowPunct/>
        <w:topLinePunct w:val="0"/>
        <w:bidi w:val="0"/>
        <w:snapToGrid/>
        <w:spacing w:line="600" w:lineRule="exact"/>
        <w:ind w:firstLine="630" w:firstLineChars="196"/>
        <w:textAlignment w:val="auto"/>
        <w:rPr>
          <w:rFonts w:ascii="仿宋" w:hAnsi="仿宋" w:eastAsia="仿宋" w:cs="Helvetica"/>
          <w:b w:val="0"/>
          <w:bCs w:val="0"/>
          <w:color w:val="000000"/>
          <w:kern w:val="0"/>
          <w:sz w:val="32"/>
          <w:szCs w:val="32"/>
        </w:rPr>
      </w:pPr>
      <w:r>
        <w:rPr>
          <w:rFonts w:ascii="仿宋" w:hAnsi="仿宋" w:eastAsia="仿宋" w:cs="Helvetica"/>
          <w:b/>
          <w:bCs/>
          <w:color w:val="000000"/>
          <w:kern w:val="0"/>
          <w:sz w:val="32"/>
          <w:szCs w:val="32"/>
        </w:rPr>
        <w:t>“科研团队”</w:t>
      </w:r>
      <w:r>
        <w:rPr>
          <w:rFonts w:ascii="仿宋" w:hAnsi="仿宋" w:eastAsia="仿宋" w:cs="Helvetica"/>
          <w:b w:val="0"/>
          <w:bCs w:val="0"/>
          <w:color w:val="000000"/>
          <w:kern w:val="0"/>
          <w:sz w:val="32"/>
          <w:szCs w:val="32"/>
        </w:rPr>
        <w:t>是指将一组目标一致、计划统一且分工明确的留学人员，以“项目组”的形式，共同派赴国外进行某项综合性课题研究的一种方式。</w:t>
      </w:r>
    </w:p>
    <w:p>
      <w:pPr>
        <w:pageBreakBefore w:val="0"/>
        <w:widowControl/>
        <w:shd w:val="clear" w:color="auto" w:fill="FFFFFF"/>
        <w:kinsoku/>
        <w:wordWrap/>
        <w:overflowPunct/>
        <w:topLinePunct w:val="0"/>
        <w:bidi w:val="0"/>
        <w:snapToGrid/>
        <w:spacing w:line="600" w:lineRule="exact"/>
        <w:ind w:firstLine="630" w:firstLineChars="196"/>
        <w:textAlignment w:val="auto"/>
        <w:rPr>
          <w:rFonts w:ascii="仿宋" w:hAnsi="仿宋" w:eastAsia="仿宋" w:cs="Helvetica"/>
          <w:color w:val="000000"/>
          <w:kern w:val="0"/>
          <w:sz w:val="32"/>
          <w:szCs w:val="32"/>
        </w:rPr>
      </w:pPr>
      <w:r>
        <w:rPr>
          <w:rFonts w:ascii="仿宋" w:hAnsi="仿宋" w:eastAsia="仿宋" w:cs="Helvetica"/>
          <w:b/>
          <w:bCs/>
          <w:color w:val="000000"/>
          <w:kern w:val="0"/>
          <w:sz w:val="32"/>
          <w:szCs w:val="32"/>
        </w:rPr>
        <w:t>“项目组”</w:t>
      </w:r>
      <w:r>
        <w:rPr>
          <w:rFonts w:ascii="仿宋" w:hAnsi="仿宋" w:eastAsia="仿宋" w:cs="Helvetica"/>
          <w:b w:val="0"/>
          <w:bCs w:val="0"/>
          <w:color w:val="000000"/>
          <w:kern w:val="0"/>
          <w:sz w:val="32"/>
          <w:szCs w:val="32"/>
        </w:rPr>
        <w:t>应由相同或相似专业的成员组成，并且留学目标或研究课题一致，在外留学期间及回国后均有条件共同开展工作。同时，应是与各省、自治区、直辖市发展紧密结合的，急需以科研团队方式派出的团队。</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eastAsia" w:ascii="黑体" w:hAnsi="黑体" w:eastAsia="黑体" w:cs="Helvetica"/>
          <w:color w:val="000000"/>
          <w:kern w:val="0"/>
          <w:sz w:val="32"/>
          <w:szCs w:val="32"/>
        </w:rPr>
      </w:pPr>
      <w:r>
        <w:rPr>
          <w:rFonts w:hint="eastAsia" w:ascii="仿宋" w:hAnsi="仿宋" w:eastAsia="仿宋" w:cs="仿宋"/>
          <w:b w:val="0"/>
          <w:bCs w:val="0"/>
          <w:color w:val="000000"/>
          <w:kern w:val="0"/>
          <w:sz w:val="32"/>
          <w:szCs w:val="32"/>
        </w:rPr>
        <w:t xml:space="preserve">西部项目、地方合作项目人员以“科研团队”方式派出，是指针对地方特色专业及人才需求，各地组织有关单位结合学科建设，科研规划和长远发展目标，有针对性、成建制地选派3-5名本项目人员组成科研小组，利用校际（单位间）科研合作渠道、以已有的科研合作项目为载体，赴国外进行3-12个月的专题合作研究，达到促进学科建设，提高科研水平的目的。对于申请科研团队派出的，基金委将组织专家以评“课题组”的方式，确定该课题组的录取资格。 </w:t>
      </w:r>
      <w:r>
        <w:rPr>
          <w:rFonts w:hint="eastAsia" w:ascii="黑体" w:hAnsi="黑体" w:eastAsia="黑体" w:cs="Helvetica"/>
          <w:color w:val="000000"/>
          <w:kern w:val="0"/>
          <w:sz w:val="32"/>
          <w:szCs w:val="32"/>
        </w:rPr>
        <w:t xml:space="preserve">  </w:t>
      </w: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黑体" w:hAnsi="黑体" w:eastAsia="黑体" w:cs="Helvetica"/>
          <w:color w:val="000000"/>
          <w:kern w:val="0"/>
          <w:sz w:val="32"/>
          <w:szCs w:val="32"/>
        </w:rPr>
      </w:pPr>
      <w:r>
        <w:rPr>
          <w:rFonts w:hint="eastAsia" w:ascii="黑体" w:hAnsi="黑体" w:eastAsia="黑体" w:cs="Helvetica"/>
          <w:color w:val="000000"/>
          <w:kern w:val="0"/>
          <w:sz w:val="32"/>
          <w:szCs w:val="32"/>
        </w:rPr>
        <w:t xml:space="preserve"> </w:t>
      </w:r>
      <w:r>
        <w:rPr>
          <w:rFonts w:ascii="黑体" w:hAnsi="黑体" w:eastAsia="黑体" w:cs="Helvetica"/>
          <w:color w:val="000000"/>
          <w:kern w:val="0"/>
          <w:sz w:val="32"/>
          <w:szCs w:val="32"/>
        </w:rPr>
        <w:t>一、资助范围</w:t>
      </w: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r>
        <w:rPr>
          <w:rFonts w:ascii="仿宋" w:hAnsi="仿宋" w:eastAsia="仿宋" w:cs="Helvetica"/>
          <w:color w:val="000000"/>
          <w:kern w:val="0"/>
          <w:sz w:val="32"/>
          <w:szCs w:val="32"/>
        </w:rPr>
        <w:fldChar w:fldCharType="begin"/>
      </w:r>
      <w:r>
        <w:rPr>
          <w:rFonts w:ascii="仿宋" w:hAnsi="仿宋" w:eastAsia="仿宋" w:cs="Helvetica"/>
          <w:color w:val="000000"/>
          <w:kern w:val="0"/>
          <w:sz w:val="32"/>
          <w:szCs w:val="32"/>
        </w:rPr>
        <w:instrText xml:space="preserve"> HYPERLINK "http://www.csc.edu.cn/article/1043" \t "http://www.csc.edu.cn/article/_blank" </w:instrText>
      </w:r>
      <w:r>
        <w:rPr>
          <w:rFonts w:ascii="仿宋" w:hAnsi="仿宋" w:eastAsia="仿宋" w:cs="Helvetica"/>
          <w:color w:val="000000"/>
          <w:kern w:val="0"/>
          <w:sz w:val="32"/>
          <w:szCs w:val="32"/>
        </w:rPr>
        <w:fldChar w:fldCharType="separate"/>
      </w:r>
      <w:r>
        <w:rPr>
          <w:rFonts w:hint="default" w:ascii="仿宋" w:hAnsi="仿宋" w:eastAsia="仿宋" w:cs="Helvetica"/>
          <w:color w:val="000000"/>
          <w:kern w:val="0"/>
          <w:sz w:val="32"/>
          <w:szCs w:val="32"/>
        </w:rPr>
        <w:t>《国家中长期人才发展规划纲要（2010-2020年）》确定的经济重点领域、社会发展重点领域</w:t>
      </w:r>
      <w:r>
        <w:rPr>
          <w:rFonts w:hint="default" w:ascii="仿宋" w:hAnsi="仿宋" w:eastAsia="仿宋" w:cs="Helvetica"/>
          <w:color w:val="000000"/>
          <w:kern w:val="0"/>
          <w:sz w:val="32"/>
          <w:szCs w:val="32"/>
        </w:rPr>
        <w:fldChar w:fldCharType="end"/>
      </w:r>
      <w:r>
        <w:rPr>
          <w:rFonts w:hint="default" w:ascii="仿宋" w:hAnsi="仿宋" w:eastAsia="仿宋" w:cs="Helvetica"/>
          <w:color w:val="000000"/>
          <w:kern w:val="0"/>
          <w:sz w:val="32"/>
          <w:szCs w:val="32"/>
        </w:rPr>
        <w:t>；</w:t>
      </w:r>
      <w:r>
        <w:rPr>
          <w:rFonts w:hint="default" w:ascii="仿宋" w:hAnsi="仿宋" w:eastAsia="仿宋" w:cs="Helvetica"/>
          <w:color w:val="000000"/>
          <w:kern w:val="0"/>
          <w:sz w:val="32"/>
          <w:szCs w:val="32"/>
        </w:rPr>
        <w:fldChar w:fldCharType="begin"/>
      </w:r>
      <w:r>
        <w:rPr>
          <w:rFonts w:hint="default" w:ascii="仿宋" w:hAnsi="仿宋" w:eastAsia="仿宋" w:cs="Helvetica"/>
          <w:color w:val="000000"/>
          <w:kern w:val="0"/>
          <w:sz w:val="32"/>
          <w:szCs w:val="32"/>
        </w:rPr>
        <w:instrText xml:space="preserve"> HYPERLINK "http://www.csc.edu.cn/article/1044" \t "http://www.csc.edu.cn/article/_blank" </w:instrText>
      </w:r>
      <w:r>
        <w:rPr>
          <w:rFonts w:hint="default" w:ascii="仿宋" w:hAnsi="仿宋" w:eastAsia="仿宋" w:cs="Helvetica"/>
          <w:color w:val="000000"/>
          <w:kern w:val="0"/>
          <w:sz w:val="32"/>
          <w:szCs w:val="32"/>
        </w:rPr>
        <w:fldChar w:fldCharType="separate"/>
      </w:r>
      <w:r>
        <w:rPr>
          <w:rFonts w:hint="default" w:ascii="仿宋" w:hAnsi="仿宋" w:eastAsia="仿宋" w:cs="Helvetica"/>
          <w:color w:val="000000"/>
          <w:kern w:val="0"/>
          <w:sz w:val="32"/>
          <w:szCs w:val="32"/>
        </w:rPr>
        <w:t>《国家中长期科学和技术发展规划纲要（2006-2020年）》确定的重点领域、重大专项、前沿技术、基础研究</w:t>
      </w:r>
      <w:r>
        <w:rPr>
          <w:rFonts w:hint="default" w:ascii="仿宋" w:hAnsi="仿宋" w:eastAsia="仿宋" w:cs="Helvetica"/>
          <w:color w:val="000000"/>
          <w:kern w:val="0"/>
          <w:sz w:val="32"/>
          <w:szCs w:val="32"/>
        </w:rPr>
        <w:fldChar w:fldCharType="end"/>
      </w:r>
      <w:r>
        <w:rPr>
          <w:rFonts w:hint="default" w:ascii="仿宋" w:hAnsi="仿宋" w:eastAsia="仿宋" w:cs="Helvetica"/>
          <w:color w:val="000000"/>
          <w:kern w:val="0"/>
          <w:sz w:val="32"/>
          <w:szCs w:val="32"/>
        </w:rPr>
        <w:t>；人文与社会科学领域；结合本地区经济社会发展急需及国家重大工程、重点学科和研究基地、重大科研项目以及国际学术交流合作对人才培养的需求。</w:t>
      </w: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黑体" w:hAnsi="黑体" w:eastAsia="黑体" w:cs="Helvetica"/>
          <w:color w:val="000000"/>
          <w:kern w:val="0"/>
          <w:sz w:val="32"/>
          <w:szCs w:val="32"/>
        </w:rPr>
      </w:pPr>
      <w:r>
        <w:rPr>
          <w:rFonts w:ascii="黑体" w:hAnsi="黑体" w:eastAsia="黑体" w:cs="Helvetica"/>
          <w:color w:val="000000"/>
          <w:kern w:val="0"/>
          <w:sz w:val="32"/>
          <w:szCs w:val="32"/>
        </w:rPr>
        <w:t>二、资助内容</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国家留学基金提供一次往返国际旅费及在外留学期间的奖学金（包括伙食费、住宿费、注册费、交通费、电话费、书籍资料费、医疗保险费、交际费、一次性安置费、签证延长费、零用费和学术活动补助费等）。奖学金资助标准按照国家现行有关规定执行。</w:t>
      </w: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黑体" w:hAnsi="黑体" w:eastAsia="黑体" w:cs="Helvetica"/>
          <w:color w:val="000000"/>
          <w:kern w:val="0"/>
          <w:sz w:val="32"/>
          <w:szCs w:val="32"/>
        </w:rPr>
      </w:pPr>
      <w:r>
        <w:rPr>
          <w:rFonts w:ascii="黑体" w:hAnsi="黑体" w:eastAsia="黑体" w:cs="Helvetica"/>
          <w:color w:val="000000"/>
          <w:kern w:val="0"/>
          <w:sz w:val="32"/>
          <w:szCs w:val="32"/>
        </w:rPr>
        <w:t>三、申请条件</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1.申请人应符合当年《国家留学基金资助出国留学人员选拔简章》及《西部地区人才培养特别项目/地方合作项目选派办法》相关要求及各地规定的其他条件。   </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2.项目组成员应为3-5人，由项目组组长及成员组成。</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3.项目组组长应有高级技术职称，除具有较高的科研能力外，还应具有较强的组织和协调能力，全面负责项目组在国外的研究工作。</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4.项目组成员应是本单位业务骨干，具有一定的科研能力和发展潜力。项目组成员应分工明确，对各自在项目组中承担的研究工作负责。</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5.项目组成员在申请时须提交外方合作院校出具的正式邀请信。</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6.项目组人员的外语水平应符合国家留学基金资助出国留学外语合格条件的要求。（详见本栏目“外语水平要求及说明”）</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未达到要求者均须参加教育部指定出国留学人员培训部组织的外语培训或自行参加相应语种的全国外语水平考试（WSK）及其他被认可的外语水平考试。项目组成员外语水平全部合格后，方予派出。</w:t>
      </w: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黑体" w:hAnsi="黑体" w:eastAsia="黑体" w:cs="Helvetica"/>
          <w:color w:val="000000"/>
          <w:kern w:val="0"/>
          <w:sz w:val="32"/>
          <w:szCs w:val="32"/>
        </w:rPr>
      </w:pPr>
      <w:r>
        <w:rPr>
          <w:rFonts w:ascii="黑体" w:hAnsi="黑体" w:eastAsia="黑体" w:cs="Helvetica"/>
          <w:color w:val="000000"/>
          <w:kern w:val="0"/>
          <w:sz w:val="32"/>
          <w:szCs w:val="32"/>
        </w:rPr>
        <w:t>四、申请材料</w:t>
      </w: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r>
        <w:rPr>
          <w:rFonts w:ascii="仿宋" w:hAnsi="仿宋" w:eastAsia="仿宋" w:cs="Helvetica"/>
          <w:color w:val="000000"/>
          <w:kern w:val="0"/>
          <w:sz w:val="32"/>
          <w:szCs w:val="32"/>
        </w:rPr>
        <w:t>有关内容请参见《关于准备西部地区人才培养特别项目/地方合作项目出国留学申请材料的说明》</w:t>
      </w: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黑体" w:hAnsi="黑体" w:eastAsia="黑体" w:cs="Helvetica"/>
          <w:color w:val="000000"/>
          <w:kern w:val="0"/>
          <w:sz w:val="32"/>
          <w:szCs w:val="32"/>
        </w:rPr>
      </w:pPr>
      <w:r>
        <w:rPr>
          <w:rFonts w:ascii="黑体" w:hAnsi="黑体" w:eastAsia="黑体" w:cs="Helvetica"/>
          <w:color w:val="000000"/>
          <w:kern w:val="0"/>
          <w:sz w:val="32"/>
          <w:szCs w:val="32"/>
        </w:rPr>
        <w:t>五、评审和录取</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此方式派出人员以“项目组”为单位进行评审，国家留学基金委将组织专家通过材料评审和面试相结合的方式对候选人进行考核，并根据专家评审意见确定录取人员名单。“项目组”人员的留学类别为访问学者。</w:t>
      </w: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黑体" w:hAnsi="黑体" w:eastAsia="黑体" w:cs="Helvetica"/>
          <w:color w:val="000000"/>
          <w:kern w:val="0"/>
          <w:sz w:val="32"/>
          <w:szCs w:val="32"/>
        </w:rPr>
      </w:pPr>
      <w:r>
        <w:rPr>
          <w:rFonts w:ascii="黑体" w:hAnsi="黑体" w:eastAsia="黑体" w:cs="Helvetica"/>
          <w:color w:val="000000"/>
          <w:kern w:val="0"/>
          <w:sz w:val="32"/>
          <w:szCs w:val="32"/>
        </w:rPr>
        <w:t>六、派出及其他</w:t>
      </w: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r>
        <w:rPr>
          <w:rFonts w:hint="default" w:ascii="仿宋" w:hAnsi="仿宋" w:eastAsia="仿宋" w:cs="Helvetica"/>
          <w:color w:val="000000"/>
          <w:kern w:val="0"/>
          <w:sz w:val="32"/>
          <w:szCs w:val="32"/>
        </w:rPr>
        <w:t>1.项目组人员须同时派赴同一个国家，派出手续的办理以及国外管理办法与国家留学基金资助方式派出的同类留学人员相同。</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2.项目鉴定和发表论文时，应注明“本研究项目获国家留学基金资助”。</w:t>
      </w: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Style w:val="2"/>
        <w:pageBreakBefore w:val="0"/>
        <w:kinsoku/>
        <w:wordWrap/>
        <w:overflowPunct/>
        <w:topLinePunct w:val="0"/>
        <w:bidi w:val="0"/>
        <w:snapToGrid/>
        <w:spacing w:before="0" w:after="0" w:line="600" w:lineRule="exact"/>
        <w:textAlignment w:val="auto"/>
        <w:rPr>
          <w:rFonts w:ascii="黑体" w:hAnsi="黑体" w:eastAsia="黑体"/>
          <w:b w:val="0"/>
          <w:sz w:val="32"/>
          <w:szCs w:val="32"/>
        </w:rPr>
      </w:pPr>
      <w:r>
        <w:rPr>
          <w:rFonts w:hint="eastAsia" w:ascii="黑体" w:hAnsi="黑体" w:eastAsia="黑体"/>
          <w:b w:val="0"/>
          <w:sz w:val="32"/>
          <w:szCs w:val="32"/>
        </w:rPr>
        <w:t>附件3</w:t>
      </w:r>
    </w:p>
    <w:p>
      <w:pPr>
        <w:pageBreakBefore w:val="0"/>
        <w:kinsoku/>
        <w:wordWrap/>
        <w:overflowPunct/>
        <w:topLinePunct w:val="0"/>
        <w:bidi w:val="0"/>
        <w:snapToGrid/>
        <w:spacing w:line="600" w:lineRule="exact"/>
        <w:textAlignment w:val="auto"/>
      </w:pPr>
    </w:p>
    <w:p>
      <w:pPr>
        <w:pageBreakBefore w:val="0"/>
        <w:widowControl/>
        <w:kinsoku/>
        <w:wordWrap/>
        <w:overflowPunct/>
        <w:topLinePunct w:val="0"/>
        <w:bidi w:val="0"/>
        <w:snapToGrid/>
        <w:spacing w:after="312" w:afterLines="100" w:line="600" w:lineRule="exact"/>
        <w:jc w:val="center"/>
        <w:textAlignment w:val="auto"/>
        <w:outlineLvl w:val="0"/>
        <w:rPr>
          <w:rFonts w:ascii="方正小标宋简体" w:hAnsi="宋体" w:eastAsia="方正小标宋简体" w:cs="宋体"/>
          <w:color w:val="000000"/>
          <w:w w:val="90"/>
          <w:kern w:val="36"/>
          <w:sz w:val="44"/>
          <w:szCs w:val="44"/>
        </w:rPr>
      </w:pPr>
      <w:r>
        <w:rPr>
          <w:rFonts w:hint="eastAsia" w:ascii="方正小标宋简体" w:hAnsi="宋体" w:eastAsia="方正小标宋简体" w:cs="宋体"/>
          <w:color w:val="000000"/>
          <w:w w:val="90"/>
          <w:kern w:val="36"/>
          <w:sz w:val="44"/>
          <w:szCs w:val="44"/>
        </w:rPr>
        <w:t>201</w:t>
      </w:r>
      <w:r>
        <w:rPr>
          <w:rFonts w:hint="eastAsia" w:ascii="方正小标宋简体" w:hAnsi="宋体" w:eastAsia="方正小标宋简体" w:cs="宋体"/>
          <w:color w:val="000000"/>
          <w:w w:val="90"/>
          <w:kern w:val="36"/>
          <w:sz w:val="44"/>
          <w:szCs w:val="44"/>
          <w:lang w:val="en-US" w:eastAsia="zh-CN"/>
        </w:rPr>
        <w:t>8</w:t>
      </w:r>
      <w:r>
        <w:rPr>
          <w:rFonts w:hint="eastAsia" w:ascii="方正小标宋简体" w:hAnsi="宋体" w:eastAsia="方正小标宋简体" w:cs="宋体"/>
          <w:color w:val="000000"/>
          <w:w w:val="90"/>
          <w:kern w:val="36"/>
          <w:sz w:val="44"/>
          <w:szCs w:val="44"/>
        </w:rPr>
        <w:t>年国家留学基金资助出国留学人员选派简章</w:t>
      </w:r>
    </w:p>
    <w:p>
      <w:pPr>
        <w:pageBreakBefore w:val="0"/>
        <w:widowControl/>
        <w:shd w:val="clear" w:color="auto" w:fill="FFFFFF"/>
        <w:kinsoku/>
        <w:wordWrap/>
        <w:overflowPunct/>
        <w:topLinePunct w:val="0"/>
        <w:bidi w:val="0"/>
        <w:snapToGrid/>
        <w:spacing w:line="600" w:lineRule="exact"/>
        <w:jc w:val="center"/>
        <w:textAlignment w:val="auto"/>
        <w:rPr>
          <w:rFonts w:ascii="宋体" w:hAnsi="宋体" w:cs="Helvetica"/>
          <w:color w:val="000000"/>
          <w:kern w:val="0"/>
          <w:sz w:val="32"/>
          <w:szCs w:val="32"/>
        </w:rPr>
      </w:pPr>
      <w:r>
        <w:rPr>
          <w:rFonts w:ascii="宋体" w:hAnsi="宋体" w:cs="Helvetica"/>
          <w:b/>
          <w:bCs/>
          <w:color w:val="000000"/>
          <w:kern w:val="0"/>
          <w:sz w:val="32"/>
          <w:szCs w:val="32"/>
        </w:rPr>
        <w:t xml:space="preserve">第一章 </w:t>
      </w:r>
      <w:r>
        <w:rPr>
          <w:rFonts w:hint="eastAsia" w:ascii="宋体" w:hAnsi="宋体" w:cs="Helvetica"/>
          <w:b/>
          <w:bCs/>
          <w:color w:val="000000"/>
          <w:kern w:val="0"/>
          <w:sz w:val="32"/>
          <w:szCs w:val="32"/>
        </w:rPr>
        <w:t xml:space="preserve"> </w:t>
      </w:r>
      <w:r>
        <w:rPr>
          <w:rFonts w:ascii="宋体" w:hAnsi="宋体" w:cs="Helvetica"/>
          <w:b/>
          <w:bCs/>
          <w:color w:val="000000"/>
          <w:kern w:val="0"/>
          <w:sz w:val="32"/>
          <w:szCs w:val="32"/>
        </w:rPr>
        <w:t>选派计划和主要项目</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第一条 2018年计划选派各类国家公派留学人员32300名。</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第二条 选派类别及留学期限</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1.高级研究学者：3-6个月。</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2.访问学者：3-12个月。</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3.博士后：6-24个月。</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4.赴国外攻读博士学位研究生：一般为36-48个月，具体以留学目的国及院校学制或外方出具的录取通知书或邀请信为准。</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5.联合培养博士生（在国内攻读博士学位期间赴国外从事研究）：6-24个月。</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6.赴国外攻读硕士学位研究生：一般为12-24个月,具体以留学目的国及院校学制或外方出具的录取通知书或邀请信为准。</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7.联合培养硕士生（在国内攻读硕士学位期间赴国外学习）:3-12个月。</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8.赴国外攻读学士学位本科生：一般为36-60个月，具体以相关项目规定为准。</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9.本科插班生（在国内攻读学士学位期间赴国外学习、毕业设计或实习等）：3-12个月。</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ascii="仿宋" w:hAnsi="仿宋" w:eastAsia="仿宋" w:cs="Helvetica"/>
          <w:color w:val="000000"/>
          <w:kern w:val="0"/>
          <w:sz w:val="32"/>
          <w:szCs w:val="32"/>
        </w:rPr>
      </w:pPr>
      <w:r>
        <w:rPr>
          <w:rFonts w:ascii="仿宋" w:hAnsi="仿宋" w:eastAsia="仿宋" w:cs="Helvetica"/>
          <w:color w:val="000000"/>
          <w:kern w:val="0"/>
          <w:sz w:val="32"/>
          <w:szCs w:val="32"/>
        </w:rPr>
        <w:t>第三条 主要项目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lang w:val="en-US" w:eastAsia="zh-CN"/>
        </w:rPr>
        <w:t>1</w:t>
      </w:r>
      <w:r>
        <w:rPr>
          <w:rFonts w:hint="eastAsia" w:ascii="仿宋" w:hAnsi="仿宋" w:eastAsia="仿宋" w:cs="仿宋"/>
          <w:b w:val="0"/>
          <w:i w:val="0"/>
          <w:caps w:val="0"/>
          <w:color w:val="auto"/>
          <w:spacing w:val="0"/>
          <w:sz w:val="32"/>
          <w:szCs w:val="32"/>
          <w:u w:val="none"/>
          <w:shd w:val="clear" w:fill="FFFFFF"/>
        </w:rPr>
        <w:t>.</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"http://www.csc.edu.cn/chuguo/s/1046"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国家公派高级研究学者、访问学者、博士后项目</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计划选派3500人。选派类别包括高级研究学者、访问学者和博士后。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2.</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"http://www.csc.edu.cn/chuguo/s/1141"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国家建设高水平大学公派研究生项目</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计划选派9500人，选派类别包括赴国外攻读博士学位研究生和联合培养博士生；博士生导师短期出国交流项目计划选派500人，选派类别为高级研究学者。</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3.</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"http://www.csc.edu.cn/chuguo/s/1111"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国家公派硕士研究生项目</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计划选派800人，选派类别包括赴国外攻读硕士学位研究生和联合培养硕士生。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4.</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"http://www.csc.edu.cn/chuguo/s/1054"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优秀本科生国际交流项目</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计划选派4500人，选派类别为本科插班生。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5.</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"http://www.csc.edu.cn/chuguo/s/1075"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高校合作项目（青年骨干教师出国研修项目）</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计划选派3200人，选派类别包括访问学者和博士后。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6.地方和行业部门合作项目计划选派3600人，其中</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"http://www.csc.edu.cn/chuguo/s/1087"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西部地区人才培养特别项目及地方合作项目</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3100人，选派类别包括高级研究学者、访问学者和博士后；与行业部门合作项目500人。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7.</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"http://www.csc.edu.cn/chuguo/s/1108"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国际区域问题研究及外语高层次人才培养项目</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和政府互换奖学金项目计划选派2300人，选派类别包括访问学者、博士后、赴国外攻读博士学位研究生、联合培养博士生、赴国外攻读硕士学位研究生、联合培养硕士生、赴国外攻读学士学位本科生和本科插班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8.</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"http://www.csc.edu.cn/article/1062"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艺术类人才特别培养项目</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计划选派300人，选派类别包括访问学者、博士后、赴国外攻读博士学位研究生、联合培养博士生、赴国外攻读硕士学位研究生、联合培养硕士生和本科插班生。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9.国外合作项目计划选派4100人。国外合作项目是指与外方机构签署协议并由中外双方联合评审、联合资助的项目，如</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"http://www.csc.edu.cn/chuguo/s/1118"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国际组织实习项目</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、中美富布莱特项目、中英联合研究创新基金博士生交流项目、中法蔡元培交流合作项目、中德合作科研项目、与瑞典皇家理工学院合作奖学金等。</w:t>
      </w:r>
    </w:p>
    <w:p>
      <w:pPr>
        <w:pageBreakBefore w:val="0"/>
        <w:widowControl/>
        <w:shd w:val="clear" w:color="auto" w:fill="FFFFFF"/>
        <w:kinsoku/>
        <w:wordWrap/>
        <w:overflowPunct/>
        <w:topLinePunct w:val="0"/>
        <w:bidi w:val="0"/>
        <w:snapToGrid/>
        <w:spacing w:line="600" w:lineRule="exact"/>
        <w:jc w:val="center"/>
        <w:textAlignment w:val="auto"/>
        <w:rPr>
          <w:rFonts w:ascii="宋体" w:hAnsi="宋体" w:cs="Helvetica"/>
          <w:color w:val="000000"/>
          <w:kern w:val="0"/>
          <w:sz w:val="32"/>
          <w:szCs w:val="32"/>
        </w:rPr>
      </w:pPr>
      <w:r>
        <w:rPr>
          <w:rFonts w:ascii="宋体" w:hAnsi="宋体" w:cs="Helvetica"/>
          <w:b/>
          <w:bCs/>
          <w:color w:val="000000"/>
          <w:kern w:val="0"/>
          <w:sz w:val="32"/>
          <w:szCs w:val="32"/>
        </w:rPr>
        <w:t xml:space="preserve">第二章 </w:t>
      </w:r>
      <w:r>
        <w:rPr>
          <w:rFonts w:hint="eastAsia" w:ascii="宋体" w:hAnsi="宋体" w:cs="Helvetica"/>
          <w:b/>
          <w:bCs/>
          <w:color w:val="000000"/>
          <w:kern w:val="0"/>
          <w:sz w:val="32"/>
          <w:szCs w:val="32"/>
        </w:rPr>
        <w:t xml:space="preserve"> </w:t>
      </w:r>
      <w:r>
        <w:rPr>
          <w:rFonts w:ascii="宋体" w:hAnsi="宋体" w:cs="Helvetica"/>
          <w:b/>
          <w:bCs/>
          <w:color w:val="000000"/>
          <w:kern w:val="0"/>
          <w:sz w:val="32"/>
          <w:szCs w:val="32"/>
        </w:rPr>
        <w:t>优先资助学科、专业领域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ascii="Helvetica Neue" w:hAnsi="Helvetica Neue" w:eastAsia="Helvetica Neue" w:cs="Helvetica Neue"/>
          <w:b w:val="0"/>
          <w:i w:val="0"/>
          <w:caps w:val="0"/>
          <w:color w:val="000000"/>
          <w:spacing w:val="0"/>
          <w:sz w:val="24"/>
          <w:szCs w:val="24"/>
        </w:rPr>
      </w:pPr>
      <w:r>
        <w:rPr>
          <w:rFonts w:hint="eastAsia" w:ascii="仿宋" w:hAnsi="仿宋" w:eastAsia="仿宋" w:cs="仿宋"/>
          <w:b w:val="0"/>
          <w:i w:val="0"/>
          <w:caps w:val="0"/>
          <w:color w:val="auto"/>
          <w:spacing w:val="0"/>
          <w:sz w:val="32"/>
          <w:szCs w:val="32"/>
          <w:u w:val="none"/>
          <w:shd w:val="clear" w:fill="FFFFFF"/>
        </w:rPr>
        <w:t>第四条 优先资助学科、专业领域主要为</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"http://www.csc.edu.cn/article/1043"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《国家中长期人才发展规划纲要（2010-2020年）》确定的经济和社会发展重点领域</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"http://www.csc.edu.cn/article/1044"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国家中长期科学和技术发展规划纲要（2006-2020年）》确定的重点领域、重大专项、前沿技术、基础研究</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，人文与社会科学领域，以及其他国家战略和重要行业发展急需领域</w:t>
      </w:r>
      <w:r>
        <w:rPr>
          <w:rFonts w:hint="default" w:ascii="Helvetica Neue" w:hAnsi="Helvetica Neue" w:eastAsia="Helvetica Neue" w:cs="Helvetica Neue"/>
          <w:b w:val="0"/>
          <w:i w:val="0"/>
          <w:caps w:val="0"/>
          <w:color w:val="000000"/>
          <w:spacing w:val="0"/>
          <w:sz w:val="24"/>
          <w:szCs w:val="24"/>
          <w:shd w:val="clear" w:fill="FFFFFF"/>
        </w:rPr>
        <w:t>。</w:t>
      </w:r>
    </w:p>
    <w:p>
      <w:pPr>
        <w:pageBreakBefore w:val="0"/>
        <w:widowControl/>
        <w:shd w:val="clear" w:color="auto" w:fill="FFFFFF"/>
        <w:kinsoku/>
        <w:wordWrap/>
        <w:overflowPunct/>
        <w:topLinePunct w:val="0"/>
        <w:bidi w:val="0"/>
        <w:snapToGrid/>
        <w:spacing w:line="600" w:lineRule="exact"/>
        <w:jc w:val="center"/>
        <w:textAlignment w:val="auto"/>
        <w:rPr>
          <w:rFonts w:ascii="宋体" w:hAnsi="宋体" w:cs="Helvetica"/>
          <w:color w:val="000000"/>
          <w:kern w:val="0"/>
          <w:sz w:val="32"/>
          <w:szCs w:val="32"/>
        </w:rPr>
      </w:pPr>
      <w:r>
        <w:rPr>
          <w:rFonts w:ascii="宋体" w:hAnsi="宋体" w:cs="Helvetica"/>
          <w:b/>
          <w:bCs/>
          <w:color w:val="000000"/>
          <w:kern w:val="0"/>
          <w:sz w:val="32"/>
          <w:szCs w:val="32"/>
        </w:rPr>
        <w:t xml:space="preserve">第三章 </w:t>
      </w:r>
      <w:r>
        <w:rPr>
          <w:rFonts w:hint="eastAsia" w:ascii="宋体" w:hAnsi="宋体" w:cs="Helvetica"/>
          <w:b/>
          <w:bCs/>
          <w:color w:val="000000"/>
          <w:kern w:val="0"/>
          <w:sz w:val="32"/>
          <w:szCs w:val="32"/>
        </w:rPr>
        <w:t xml:space="preserve"> </w:t>
      </w:r>
      <w:r>
        <w:rPr>
          <w:rFonts w:ascii="宋体" w:hAnsi="宋体" w:cs="Helvetica"/>
          <w:b/>
          <w:bCs/>
          <w:color w:val="000000"/>
          <w:kern w:val="0"/>
          <w:sz w:val="32"/>
          <w:szCs w:val="32"/>
        </w:rPr>
        <w:t>资助内容</w:t>
      </w:r>
    </w:p>
    <w:p>
      <w:pPr>
        <w:pageBreakBefore w:val="0"/>
        <w:widowControl/>
        <w:shd w:val="clear" w:color="auto" w:fill="FFFFFF"/>
        <w:kinsoku/>
        <w:wordWrap/>
        <w:overflowPunct/>
        <w:topLinePunct w:val="0"/>
        <w:bidi w:val="0"/>
        <w:snapToGrid/>
        <w:spacing w:line="600" w:lineRule="exact"/>
        <w:jc w:val="left"/>
        <w:textAlignment w:val="auto"/>
        <w:rPr>
          <w:rFonts w:hint="eastAsia" w:ascii="仿宋" w:hAnsi="仿宋" w:eastAsia="仿宋" w:cs="仿宋"/>
          <w:b w:val="0"/>
          <w:i w:val="0"/>
          <w:caps w:val="0"/>
          <w:color w:val="000000"/>
          <w:spacing w:val="0"/>
          <w:sz w:val="32"/>
          <w:szCs w:val="32"/>
          <w:shd w:val="clear" w:fill="FFFFFF"/>
        </w:rPr>
      </w:pPr>
      <w:r>
        <w:rPr>
          <w:rFonts w:hint="eastAsia" w:ascii="仿宋" w:hAnsi="仿宋" w:eastAsia="仿宋" w:cs="仿宋"/>
          <w:b w:val="0"/>
          <w:i w:val="0"/>
          <w:caps w:val="0"/>
          <w:color w:val="000000"/>
          <w:spacing w:val="0"/>
          <w:sz w:val="32"/>
          <w:szCs w:val="32"/>
          <w:shd w:val="clear" w:fill="FFFFFF"/>
        </w:rPr>
        <w:t>第五条 资助内容一般为一次往返国际旅费和资助期限内的奖学金（包括伙食费、住宿费、注册费、交通费、电话费、书籍资料费、医疗保险费、交际费、一次性安置费、签证延长费、零用费和学术活动补助费等）。对部分人员可提供学费资助。具体资助方式、资助标准等以录取文件为准。</w:t>
      </w:r>
    </w:p>
    <w:p>
      <w:pPr>
        <w:pageBreakBefore w:val="0"/>
        <w:widowControl/>
        <w:shd w:val="clear" w:color="auto" w:fill="FFFFFF"/>
        <w:kinsoku/>
        <w:wordWrap/>
        <w:overflowPunct/>
        <w:topLinePunct w:val="0"/>
        <w:bidi w:val="0"/>
        <w:snapToGrid/>
        <w:spacing w:line="600" w:lineRule="exact"/>
        <w:jc w:val="center"/>
        <w:textAlignment w:val="auto"/>
        <w:rPr>
          <w:rFonts w:ascii="宋体" w:hAnsi="宋体" w:cs="Helvetica"/>
          <w:b/>
          <w:bCs/>
          <w:color w:val="000000"/>
          <w:kern w:val="0"/>
          <w:sz w:val="32"/>
          <w:szCs w:val="32"/>
        </w:rPr>
      </w:pPr>
    </w:p>
    <w:p>
      <w:pPr>
        <w:pageBreakBefore w:val="0"/>
        <w:widowControl/>
        <w:shd w:val="clear" w:color="auto" w:fill="FFFFFF"/>
        <w:kinsoku/>
        <w:wordWrap/>
        <w:overflowPunct/>
        <w:topLinePunct w:val="0"/>
        <w:bidi w:val="0"/>
        <w:snapToGrid/>
        <w:spacing w:line="600" w:lineRule="exact"/>
        <w:jc w:val="center"/>
        <w:textAlignment w:val="auto"/>
        <w:rPr>
          <w:rFonts w:ascii="宋体" w:hAnsi="宋体" w:cs="Helvetica"/>
          <w:b/>
          <w:bCs/>
          <w:color w:val="000000"/>
          <w:kern w:val="0"/>
          <w:sz w:val="32"/>
          <w:szCs w:val="32"/>
        </w:rPr>
      </w:pPr>
    </w:p>
    <w:p>
      <w:pPr>
        <w:pageBreakBefore w:val="0"/>
        <w:widowControl/>
        <w:numPr>
          <w:ilvl w:val="0"/>
          <w:numId w:val="1"/>
        </w:numPr>
        <w:shd w:val="clear" w:color="auto" w:fill="FFFFFF"/>
        <w:kinsoku/>
        <w:wordWrap/>
        <w:overflowPunct/>
        <w:topLinePunct w:val="0"/>
        <w:bidi w:val="0"/>
        <w:snapToGrid/>
        <w:spacing w:line="600" w:lineRule="exact"/>
        <w:jc w:val="center"/>
        <w:textAlignment w:val="auto"/>
        <w:rPr>
          <w:rFonts w:ascii="宋体" w:hAnsi="宋体" w:cs="Helvetica"/>
          <w:b/>
          <w:bCs/>
          <w:color w:val="000000"/>
          <w:kern w:val="0"/>
          <w:sz w:val="32"/>
          <w:szCs w:val="32"/>
        </w:rPr>
      </w:pPr>
      <w:r>
        <w:rPr>
          <w:rFonts w:hint="eastAsia" w:ascii="宋体" w:hAnsi="宋体" w:cs="Helvetica"/>
          <w:b/>
          <w:bCs/>
          <w:color w:val="000000"/>
          <w:kern w:val="0"/>
          <w:sz w:val="32"/>
          <w:szCs w:val="32"/>
        </w:rPr>
        <w:t xml:space="preserve"> </w:t>
      </w:r>
      <w:r>
        <w:rPr>
          <w:rFonts w:ascii="宋体" w:hAnsi="宋体" w:cs="Helvetica"/>
          <w:b/>
          <w:bCs/>
          <w:color w:val="000000"/>
          <w:kern w:val="0"/>
          <w:sz w:val="32"/>
          <w:szCs w:val="32"/>
        </w:rPr>
        <w:t>申请条件</w:t>
      </w:r>
    </w:p>
    <w:p>
      <w:pPr>
        <w:pageBreakBefore w:val="0"/>
        <w:widowControl/>
        <w:numPr>
          <w:ilvl w:val="0"/>
          <w:numId w:val="0"/>
        </w:numPr>
        <w:shd w:val="clear" w:color="auto" w:fill="FFFFFF"/>
        <w:kinsoku/>
        <w:wordWrap/>
        <w:overflowPunct/>
        <w:topLinePunct w:val="0"/>
        <w:bidi w:val="0"/>
        <w:snapToGrid/>
        <w:spacing w:line="600" w:lineRule="exact"/>
        <w:ind w:firstLine="320" w:firstLineChars="100"/>
        <w:jc w:val="both"/>
        <w:textAlignment w:val="auto"/>
        <w:rPr>
          <w:rFonts w:hint="eastAsia" w:ascii="仿宋" w:hAnsi="仿宋" w:eastAsia="仿宋" w:cs="仿宋"/>
          <w:b/>
          <w:bCs/>
          <w:color w:val="000000"/>
          <w:kern w:val="0"/>
          <w:sz w:val="32"/>
          <w:szCs w:val="32"/>
        </w:rPr>
      </w:pPr>
      <w:r>
        <w:rPr>
          <w:rFonts w:hint="eastAsia" w:ascii="仿宋" w:hAnsi="仿宋" w:eastAsia="仿宋" w:cs="仿宋"/>
          <w:b w:val="0"/>
          <w:i w:val="0"/>
          <w:caps w:val="0"/>
          <w:color w:val="000000"/>
          <w:spacing w:val="0"/>
          <w:sz w:val="32"/>
          <w:szCs w:val="32"/>
          <w:shd w:val="clear" w:fill="FFFFFF"/>
        </w:rPr>
        <w:t>第六条 申请人基本条件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1.热爱社会主义祖国，具有良好的思想品德和政治素质，无违法违纪记录。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2.具有良好专业基础和发展潜力，在工作、学习中表现突出，具有学成回国为祖国建设服务的事业心和责任感。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3.具有中华人民共和国国籍，不具有国外永久居留权。申请时应为高等学校、企事业单位、行政机关、科研机构的正式工作人员或在校学生，年龄满18周岁。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4.身体健康，心理健康。</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5.符合</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"http://www.csc.edu.cn/article/1045"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国家留学基金资助出国留学外语条件</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及留学国家、留学单位的语言要求。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6.符合申请项目的其他具体要求。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第七条 暂不受理以下人员的申请</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1.已获得国外全额奖学金资助。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2.已获得国家公派留学资格且在有效期内。</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3.已申报国家公派出国留学项目尚未公布录取结果。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4.曾获得国家公派留学资格，未经国家留学基金委批准擅自放弃且时间在5年以内，或经国家留学基金委批准放弃且时间在2年以内。</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ascii="仿宋" w:hAnsi="仿宋" w:eastAsia="仿宋" w:cs="Helvetica"/>
          <w:color w:val="000000"/>
          <w:kern w:val="0"/>
          <w:sz w:val="32"/>
          <w:szCs w:val="32"/>
        </w:rPr>
      </w:pPr>
      <w:r>
        <w:rPr>
          <w:rFonts w:hint="eastAsia" w:ascii="仿宋" w:hAnsi="仿宋" w:eastAsia="仿宋" w:cs="仿宋"/>
          <w:b w:val="0"/>
          <w:i w:val="0"/>
          <w:caps w:val="0"/>
          <w:color w:val="auto"/>
          <w:spacing w:val="0"/>
          <w:sz w:val="32"/>
          <w:szCs w:val="32"/>
          <w:u w:val="none"/>
          <w:shd w:val="clear" w:fill="FFFFFF"/>
        </w:rPr>
        <w:t>5.曾享受国家留学基金资助出国留学、回国后服务尚不满五年。项目有特殊规定的，按相关规定执行。</w:t>
      </w:r>
    </w:p>
    <w:p>
      <w:pPr>
        <w:pageBreakBefore w:val="0"/>
        <w:widowControl/>
        <w:shd w:val="clear" w:color="auto" w:fill="FFFFFF"/>
        <w:kinsoku/>
        <w:wordWrap/>
        <w:overflowPunct/>
        <w:topLinePunct w:val="0"/>
        <w:bidi w:val="0"/>
        <w:snapToGrid/>
        <w:spacing w:line="600" w:lineRule="exact"/>
        <w:jc w:val="center"/>
        <w:textAlignment w:val="auto"/>
        <w:rPr>
          <w:rFonts w:ascii="宋体" w:hAnsi="宋体" w:cs="Helvetica"/>
          <w:color w:val="000000"/>
          <w:kern w:val="0"/>
          <w:sz w:val="32"/>
          <w:szCs w:val="32"/>
        </w:rPr>
      </w:pPr>
      <w:r>
        <w:rPr>
          <w:rFonts w:ascii="宋体" w:hAnsi="宋体" w:cs="Helvetica"/>
          <w:b/>
          <w:bCs/>
          <w:color w:val="000000"/>
          <w:kern w:val="0"/>
          <w:sz w:val="32"/>
          <w:szCs w:val="32"/>
        </w:rPr>
        <w:t xml:space="preserve">第五章 </w:t>
      </w:r>
      <w:r>
        <w:rPr>
          <w:rFonts w:hint="eastAsia" w:ascii="宋体" w:hAnsi="宋体" w:cs="Helvetica"/>
          <w:b/>
          <w:bCs/>
          <w:color w:val="000000"/>
          <w:kern w:val="0"/>
          <w:sz w:val="32"/>
          <w:szCs w:val="32"/>
        </w:rPr>
        <w:t xml:space="preserve"> </w:t>
      </w:r>
      <w:r>
        <w:rPr>
          <w:rFonts w:ascii="宋体" w:hAnsi="宋体" w:cs="Helvetica"/>
          <w:b/>
          <w:bCs/>
          <w:color w:val="000000"/>
          <w:kern w:val="0"/>
          <w:sz w:val="32"/>
          <w:szCs w:val="32"/>
        </w:rPr>
        <w:t>选拔办法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第八条 遵循“公开、公平、公正”的原则，采取“个人申请，单位推荐，专家评审，择优录取”的方式进行选拔。</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第九条 符合申请条件者，按规定程序和办法申请。国家留学基金管理委员会根据相关项目要求，组织专家评审，确定录取结果。申请人可登录国家公派留学管理信息平台（</w:t>
      </w:r>
      <w:r>
        <w:rPr>
          <w:rFonts w:hint="eastAsia" w:ascii="仿宋" w:hAnsi="仿宋" w:eastAsia="仿宋" w:cs="仿宋"/>
          <w:b w:val="0"/>
          <w:i w:val="0"/>
          <w:caps w:val="0"/>
          <w:spacing w:val="0"/>
          <w:sz w:val="32"/>
          <w:szCs w:val="32"/>
          <w:shd w:val="clear" w:fill="FFFFFF"/>
        </w:rPr>
        <w:fldChar w:fldCharType="begin"/>
      </w:r>
      <w:r>
        <w:rPr>
          <w:rFonts w:hint="eastAsia" w:ascii="仿宋" w:hAnsi="仿宋" w:eastAsia="仿宋" w:cs="仿宋"/>
          <w:b w:val="0"/>
          <w:i w:val="0"/>
          <w:caps w:val="0"/>
          <w:spacing w:val="0"/>
          <w:sz w:val="32"/>
          <w:szCs w:val="32"/>
          <w:shd w:val="clear" w:fill="FFFFFF"/>
        </w:rPr>
        <w:instrText xml:space="preserve"> HYPERLINK "http://apply.csc.edu.cn/" \t "http://www.csc.edu.cn/article/_blank" </w:instrText>
      </w:r>
      <w:r>
        <w:rPr>
          <w:rFonts w:hint="eastAsia" w:ascii="仿宋" w:hAnsi="仿宋" w:eastAsia="仿宋" w:cs="仿宋"/>
          <w:b w:val="0"/>
          <w:i w:val="0"/>
          <w:caps w:val="0"/>
          <w:spacing w:val="0"/>
          <w:sz w:val="32"/>
          <w:szCs w:val="32"/>
          <w:shd w:val="clear" w:fill="FFFFFF"/>
        </w:rPr>
        <w:fldChar w:fldCharType="separate"/>
      </w:r>
      <w:r>
        <w:rPr>
          <w:rStyle w:val="10"/>
          <w:rFonts w:hint="eastAsia" w:ascii="仿宋" w:hAnsi="仿宋" w:eastAsia="仿宋" w:cs="仿宋"/>
          <w:b w:val="0"/>
          <w:i w:val="0"/>
          <w:caps w:val="0"/>
          <w:spacing w:val="0"/>
          <w:sz w:val="32"/>
          <w:szCs w:val="32"/>
          <w:shd w:val="clear" w:fill="FFFFFF"/>
        </w:rPr>
        <w:t>http://apply.csc.edu.cn</w:t>
      </w:r>
      <w:r>
        <w:rPr>
          <w:rFonts w:hint="eastAsia" w:ascii="仿宋" w:hAnsi="仿宋" w:eastAsia="仿宋" w:cs="仿宋"/>
          <w:b w:val="0"/>
          <w:i w:val="0"/>
          <w:caps w:val="0"/>
          <w:spacing w:val="0"/>
          <w:sz w:val="32"/>
          <w:szCs w:val="32"/>
          <w:shd w:val="clear" w:fill="FFFFFF"/>
        </w:rPr>
        <w:fldChar w:fldCharType="end"/>
      </w:r>
      <w:r>
        <w:rPr>
          <w:rFonts w:hint="eastAsia" w:ascii="仿宋" w:hAnsi="仿宋" w:eastAsia="仿宋" w:cs="仿宋"/>
          <w:b w:val="0"/>
          <w:i w:val="0"/>
          <w:caps w:val="0"/>
          <w:color w:val="000000"/>
          <w:spacing w:val="0"/>
          <w:sz w:val="32"/>
          <w:szCs w:val="32"/>
          <w:shd w:val="clear" w:fill="FFFFFF"/>
        </w:rPr>
        <w:t>）查询录取结果。录取通知发至申请人所在单位。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第十条 主要项目申请、录取时间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1.国家公派高级研究学者、访问学者、博士后项目：1月5日-15日申请，3月下旬公布录取结果。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2.国家建设高水平大学公派研究生项目：3月20日-4月5日申请，5月公布录取结果（部分中外合作协议/项目需与外方合作院校/机构确认录取结果，公布时间略晚）。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3.国家公派硕士研究生项目：3月20日-4月5日申请，5月公布录取结果。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4.优秀本科生国际交流项目：项目申请时间：2017年11月25日-12月8日；人选申报时间：第一批2018年4月21日-5月5日申请，5月公布录取结果；第二批2018年9月20日-30日申请，10月公布录取结果。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5.青年骨干教师出国研修项目：第一批4月1日-15日申请，5月公布录取结果；第二批9月10日-20日申请，10月公布录取结果。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6.地方和行业部门合作项目：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①西部地区人才培养特别项目及地方合作项目：4月1日-15日申请，7月公布录取结果。其中，国家留学基金委统一安排成班派出项目1月5日-15日申请，4月公布录取结果。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②与行业部门合作项目按照相应项目规定施行。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7.国际区域问题研究及外语高层次人才培养项目：3月20日-30日申请，5月公布录取结果。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政府互换奖学金项目根据相应规定施行。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8.艺术类人才培养特别项目：3月20日-4月5日申请，5月公布录取结果。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9.国外合作项目根据相应项目规定施行。</w:t>
      </w:r>
    </w:p>
    <w:p>
      <w:pPr>
        <w:pageBreakBefore w:val="0"/>
        <w:widowControl/>
        <w:shd w:val="clear" w:color="auto" w:fill="FFFFFF"/>
        <w:kinsoku/>
        <w:wordWrap/>
        <w:overflowPunct/>
        <w:topLinePunct w:val="0"/>
        <w:bidi w:val="0"/>
        <w:snapToGrid/>
        <w:spacing w:line="600" w:lineRule="exact"/>
        <w:ind w:firstLine="640" w:firstLineChars="200"/>
        <w:jc w:val="left"/>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jc w:val="center"/>
        <w:textAlignment w:val="auto"/>
        <w:rPr>
          <w:rFonts w:ascii="宋体" w:hAnsi="宋体" w:cs="Helvetica"/>
          <w:color w:val="000000"/>
          <w:kern w:val="0"/>
          <w:sz w:val="32"/>
          <w:szCs w:val="32"/>
        </w:rPr>
      </w:pPr>
      <w:r>
        <w:rPr>
          <w:rFonts w:ascii="宋体" w:hAnsi="宋体" w:cs="Helvetica"/>
          <w:b/>
          <w:bCs/>
          <w:color w:val="000000"/>
          <w:kern w:val="0"/>
          <w:sz w:val="32"/>
          <w:szCs w:val="32"/>
        </w:rPr>
        <w:t xml:space="preserve">第六章 </w:t>
      </w:r>
      <w:r>
        <w:rPr>
          <w:rFonts w:hint="eastAsia" w:ascii="宋体" w:hAnsi="宋体" w:cs="宋体"/>
          <w:b/>
          <w:bCs/>
          <w:color w:val="000000"/>
          <w:kern w:val="0"/>
          <w:sz w:val="32"/>
          <w:szCs w:val="32"/>
        </w:rPr>
        <w:t xml:space="preserve"> </w:t>
      </w:r>
      <w:r>
        <w:rPr>
          <w:rFonts w:ascii="宋体" w:hAnsi="宋体" w:cs="Helvetica"/>
          <w:b/>
          <w:bCs/>
          <w:color w:val="000000"/>
          <w:kern w:val="0"/>
          <w:sz w:val="32"/>
          <w:szCs w:val="32"/>
        </w:rPr>
        <w:t>派出与管理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第十一条 被录取人员须在留学资格有效期内派出。凡未按期派出者，留学资格自动取消。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第十二条 对留学人员实行“签约派出，违约赔偿”的管理办法。派出前，留学人员须持《资助出国留学协议书》赴公证机构办理签约公证手续，在派出前将公证后的协议书邮寄或面交至国家留学基金委，办理护照、签证、《国际旅行健康证书》，通过教育部留学服务中心、教育部出国人员上海集训部、广州留学人员服务中心办理预定机票、《国家公派留学人员报到证明》、预领奖学金手续（具体请查阅</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"http://www.csc.edu.cn/article/1105"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《出国留学人员须知》</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第十三条 留学人员自抵达留学所在国后10日内凭《国家留学基金资助出国留学资格证书》、《国家公派留学人员报到证明》原件向中国驻留学所在国使（领）馆办理报到手续，具体按照驻留学所在国使（领）馆要求办理。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第十四条 留学人员在国外留学期间，应遵守所在国法律法规、国家留学基金资助出国留学人员的有关规定及《资助出国留学协议书》的有关约定，自觉接受国内推选单位和驻外使（领）馆的指导和管理，定期向推选单位和驻外使（领）馆提交研修报告。</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第十五条 留学人员学成后应按期回国履行回国服务义务，回国之日起3个月内须在国家公派留学管理信息平台登记回国信息。本科插班生无需履行回国服务义务。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第十六条 留学人员与获得资助有关的论文、研究项目或科研成果在成文、发表、公开时，应注明“本研究/成果/论文得到中国国家留学基金资助”。</w:t>
      </w:r>
    </w:p>
    <w:p>
      <w:pPr>
        <w:pageBreakBefore w:val="0"/>
        <w:kinsoku/>
        <w:wordWrap/>
        <w:overflowPunct/>
        <w:topLinePunct w:val="0"/>
        <w:bidi w:val="0"/>
        <w:snapToGrid/>
        <w:spacing w:line="600" w:lineRule="exact"/>
        <w:textAlignment w:val="auto"/>
        <w:rPr>
          <w:rFonts w:hint="eastAsia" w:ascii="黑体" w:hAnsi="黑体" w:eastAsia="黑体" w:cs="Arial"/>
          <w:kern w:val="0"/>
          <w:sz w:val="32"/>
          <w:szCs w:val="32"/>
        </w:rPr>
      </w:pPr>
    </w:p>
    <w:p>
      <w:pPr>
        <w:pageBreakBefore w:val="0"/>
        <w:kinsoku/>
        <w:wordWrap/>
        <w:overflowPunct/>
        <w:topLinePunct w:val="0"/>
        <w:bidi w:val="0"/>
        <w:snapToGrid/>
        <w:spacing w:line="600" w:lineRule="exact"/>
        <w:textAlignment w:val="auto"/>
        <w:rPr>
          <w:rFonts w:hint="eastAsia" w:ascii="黑体" w:hAnsi="黑体" w:eastAsia="黑体" w:cs="Arial"/>
          <w:kern w:val="0"/>
          <w:sz w:val="32"/>
          <w:szCs w:val="32"/>
        </w:rPr>
      </w:pPr>
    </w:p>
    <w:p>
      <w:pPr>
        <w:pageBreakBefore w:val="0"/>
        <w:kinsoku/>
        <w:wordWrap/>
        <w:overflowPunct/>
        <w:topLinePunct w:val="0"/>
        <w:bidi w:val="0"/>
        <w:snapToGrid/>
        <w:spacing w:line="600" w:lineRule="exact"/>
        <w:textAlignment w:val="auto"/>
        <w:rPr>
          <w:rFonts w:hint="eastAsia" w:ascii="黑体" w:hAnsi="黑体" w:eastAsia="黑体" w:cs="Arial"/>
          <w:kern w:val="0"/>
          <w:sz w:val="32"/>
          <w:szCs w:val="32"/>
        </w:rPr>
      </w:pPr>
    </w:p>
    <w:p>
      <w:pPr>
        <w:pageBreakBefore w:val="0"/>
        <w:kinsoku/>
        <w:wordWrap/>
        <w:overflowPunct/>
        <w:topLinePunct w:val="0"/>
        <w:bidi w:val="0"/>
        <w:snapToGrid/>
        <w:spacing w:line="600" w:lineRule="exact"/>
        <w:textAlignment w:val="auto"/>
        <w:rPr>
          <w:rFonts w:hint="eastAsia" w:ascii="黑体" w:hAnsi="黑体" w:eastAsia="黑体" w:cs="Arial"/>
          <w:kern w:val="0"/>
          <w:sz w:val="32"/>
          <w:szCs w:val="32"/>
        </w:rPr>
      </w:pPr>
    </w:p>
    <w:p>
      <w:pPr>
        <w:pageBreakBefore w:val="0"/>
        <w:kinsoku/>
        <w:wordWrap/>
        <w:overflowPunct/>
        <w:topLinePunct w:val="0"/>
        <w:bidi w:val="0"/>
        <w:snapToGrid/>
        <w:spacing w:line="600" w:lineRule="exact"/>
        <w:textAlignment w:val="auto"/>
        <w:rPr>
          <w:rFonts w:hint="eastAsia" w:ascii="黑体" w:hAnsi="黑体" w:eastAsia="黑体" w:cs="Arial"/>
          <w:kern w:val="0"/>
          <w:sz w:val="32"/>
          <w:szCs w:val="32"/>
        </w:rPr>
      </w:pPr>
    </w:p>
    <w:p>
      <w:pPr>
        <w:pageBreakBefore w:val="0"/>
        <w:kinsoku/>
        <w:wordWrap/>
        <w:overflowPunct/>
        <w:topLinePunct w:val="0"/>
        <w:bidi w:val="0"/>
        <w:snapToGrid/>
        <w:spacing w:line="600" w:lineRule="exact"/>
        <w:textAlignment w:val="auto"/>
        <w:rPr>
          <w:rFonts w:ascii="黑体" w:hAnsi="黑体" w:eastAsia="黑体" w:cs="Arial"/>
          <w:kern w:val="0"/>
          <w:sz w:val="32"/>
          <w:szCs w:val="32"/>
        </w:rPr>
      </w:pPr>
      <w:r>
        <w:rPr>
          <w:rFonts w:hint="eastAsia" w:ascii="黑体" w:hAnsi="黑体" w:eastAsia="黑体" w:cs="Arial"/>
          <w:kern w:val="0"/>
          <w:sz w:val="32"/>
          <w:szCs w:val="32"/>
        </w:rPr>
        <w:t>附件4</w:t>
      </w:r>
    </w:p>
    <w:p>
      <w:pPr>
        <w:pageBreakBefore w:val="0"/>
        <w:kinsoku/>
        <w:wordWrap/>
        <w:overflowPunct/>
        <w:topLinePunct w:val="0"/>
        <w:bidi w:val="0"/>
        <w:snapToGrid/>
        <w:spacing w:line="600" w:lineRule="exact"/>
        <w:textAlignment w:val="auto"/>
        <w:rPr>
          <w:rFonts w:ascii="黑体" w:hAnsi="黑体" w:eastAsia="黑体" w:cs="Arial"/>
          <w:kern w:val="0"/>
          <w:sz w:val="32"/>
          <w:szCs w:val="32"/>
        </w:rPr>
      </w:pPr>
    </w:p>
    <w:p>
      <w:pPr>
        <w:pageBreakBefore w:val="0"/>
        <w:widowControl/>
        <w:kinsoku/>
        <w:wordWrap/>
        <w:overflowPunct/>
        <w:topLinePunct w:val="0"/>
        <w:bidi w:val="0"/>
        <w:snapToGrid/>
        <w:spacing w:line="600" w:lineRule="exact"/>
        <w:jc w:val="center"/>
        <w:textAlignment w:val="auto"/>
        <w:outlineLvl w:val="0"/>
        <w:rPr>
          <w:rFonts w:ascii="方正小标宋简体" w:hAnsi="方正小标宋简体" w:eastAsia="方正小标宋简体" w:cs="方正小标宋简体"/>
          <w:color w:val="000000"/>
          <w:kern w:val="36"/>
          <w:sz w:val="44"/>
          <w:szCs w:val="44"/>
        </w:rPr>
      </w:pPr>
      <w:r>
        <w:rPr>
          <w:rFonts w:hint="eastAsia" w:ascii="方正小标宋简体" w:hAnsi="方正小标宋简体" w:eastAsia="方正小标宋简体" w:cs="方正小标宋简体"/>
          <w:color w:val="000000"/>
          <w:kern w:val="36"/>
          <w:sz w:val="44"/>
          <w:szCs w:val="44"/>
        </w:rPr>
        <w:t>201</w:t>
      </w:r>
      <w:r>
        <w:rPr>
          <w:rFonts w:hint="eastAsia" w:ascii="方正小标宋简体" w:hAnsi="方正小标宋简体" w:eastAsia="方正小标宋简体" w:cs="方正小标宋简体"/>
          <w:color w:val="000000"/>
          <w:kern w:val="36"/>
          <w:sz w:val="44"/>
          <w:szCs w:val="44"/>
          <w:lang w:val="en-US" w:eastAsia="zh-CN"/>
        </w:rPr>
        <w:t>8</w:t>
      </w:r>
      <w:r>
        <w:rPr>
          <w:rFonts w:hint="eastAsia" w:ascii="方正小标宋简体" w:hAnsi="方正小标宋简体" w:eastAsia="方正小标宋简体" w:cs="方正小标宋简体"/>
          <w:color w:val="000000"/>
          <w:kern w:val="36"/>
          <w:sz w:val="44"/>
          <w:szCs w:val="44"/>
        </w:rPr>
        <w:t>年西部地区人才培养特别项目/地方</w:t>
      </w:r>
    </w:p>
    <w:p>
      <w:pPr>
        <w:pageBreakBefore w:val="0"/>
        <w:widowControl/>
        <w:kinsoku/>
        <w:wordWrap/>
        <w:overflowPunct/>
        <w:topLinePunct w:val="0"/>
        <w:bidi w:val="0"/>
        <w:snapToGrid/>
        <w:spacing w:line="600" w:lineRule="exact"/>
        <w:jc w:val="center"/>
        <w:textAlignment w:val="auto"/>
        <w:outlineLvl w:val="0"/>
        <w:rPr>
          <w:rFonts w:ascii="方正小标宋简体" w:hAnsi="方正小标宋简体" w:eastAsia="方正小标宋简体" w:cs="方正小标宋简体"/>
          <w:color w:val="000000"/>
          <w:kern w:val="36"/>
          <w:sz w:val="44"/>
          <w:szCs w:val="44"/>
        </w:rPr>
      </w:pPr>
      <w:r>
        <w:rPr>
          <w:rFonts w:hint="eastAsia" w:ascii="方正小标宋简体" w:hAnsi="方正小标宋简体" w:eastAsia="方正小标宋简体" w:cs="方正小标宋简体"/>
          <w:color w:val="000000"/>
          <w:kern w:val="36"/>
          <w:sz w:val="44"/>
          <w:szCs w:val="44"/>
        </w:rPr>
        <w:t>合作项目选派办法</w:t>
      </w:r>
    </w:p>
    <w:p>
      <w:pPr>
        <w:pageBreakBefore w:val="0"/>
        <w:widowControl/>
        <w:kinsoku/>
        <w:wordWrap/>
        <w:overflowPunct/>
        <w:topLinePunct w:val="0"/>
        <w:bidi w:val="0"/>
        <w:snapToGrid/>
        <w:spacing w:line="600" w:lineRule="exact"/>
        <w:textAlignment w:val="auto"/>
        <w:outlineLvl w:val="0"/>
        <w:rPr>
          <w:rFonts w:ascii="方正小标宋简体" w:hAnsi="方正小标宋简体" w:eastAsia="方正小标宋简体" w:cs="方正小标宋简体"/>
          <w:color w:val="000000"/>
          <w:kern w:val="36"/>
          <w:sz w:val="44"/>
          <w:szCs w:val="44"/>
        </w:rPr>
      </w:pPr>
    </w:p>
    <w:p>
      <w:pPr>
        <w:pageBreakBefore w:val="0"/>
        <w:widowControl/>
        <w:shd w:val="clear" w:color="auto" w:fill="FFFFFF"/>
        <w:kinsoku/>
        <w:wordWrap/>
        <w:overflowPunct/>
        <w:topLinePunct w:val="0"/>
        <w:bidi w:val="0"/>
        <w:snapToGrid/>
        <w:spacing w:line="600" w:lineRule="exact"/>
        <w:jc w:val="center"/>
        <w:textAlignment w:val="auto"/>
        <w:rPr>
          <w:rFonts w:ascii="黑体" w:hAnsi="黑体" w:eastAsia="黑体" w:cs="Helvetica"/>
          <w:color w:val="000000"/>
          <w:kern w:val="0"/>
          <w:sz w:val="32"/>
          <w:szCs w:val="32"/>
        </w:rPr>
      </w:pPr>
      <w:r>
        <w:rPr>
          <w:rFonts w:ascii="黑体" w:hAnsi="黑体" w:eastAsia="黑体" w:cs="Helvetica"/>
          <w:bCs/>
          <w:color w:val="000000"/>
          <w:kern w:val="0"/>
          <w:sz w:val="32"/>
          <w:szCs w:val="32"/>
        </w:rPr>
        <w:t>第一章</w:t>
      </w:r>
      <w:r>
        <w:rPr>
          <w:rFonts w:hint="eastAsia" w:ascii="黑体" w:hAnsi="黑体" w:eastAsia="黑体" w:cs="Helvetica"/>
          <w:bCs/>
          <w:color w:val="000000"/>
          <w:kern w:val="0"/>
          <w:sz w:val="32"/>
          <w:szCs w:val="32"/>
        </w:rPr>
        <w:t xml:space="preserve">  </w:t>
      </w:r>
      <w:r>
        <w:rPr>
          <w:rFonts w:ascii="黑体" w:hAnsi="黑体" w:eastAsia="黑体" w:cs="Helvetica"/>
          <w:bCs/>
          <w:color w:val="000000"/>
          <w:kern w:val="0"/>
          <w:sz w:val="32"/>
          <w:szCs w:val="32"/>
        </w:rPr>
        <w:t>总则</w:t>
      </w: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r>
        <w:rPr>
          <w:rFonts w:hint="default" w:ascii="仿宋" w:hAnsi="仿宋" w:eastAsia="仿宋" w:cs="Helvetica"/>
          <w:color w:val="000000"/>
          <w:kern w:val="0"/>
          <w:sz w:val="32"/>
          <w:szCs w:val="32"/>
        </w:rPr>
        <w:t>第一条 为配合国家“一带一路”倡议，优先推进西部大开发，全面振兴东北地区老工业基地，大力促进中部地区崛起，积极支持东部地区经济率先转型升级战略的实施，做好西部地区人才培养特别项目、地方合作项目的选派工作，制定本办法。</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第二条 国家留学基金管理委员会（以下简称国家留学基金委）采取与有关省、自治区、直辖市分别签订合作协议的方式，具体确定有关省、自治区、直辖市资金配套比例、选派规模、类别、期限、双方的权利与义务及其他有关事宜。</w:t>
      </w:r>
    </w:p>
    <w:p>
      <w:pPr>
        <w:pageBreakBefore w:val="0"/>
        <w:widowControl/>
        <w:shd w:val="clear" w:color="auto" w:fill="FFFFFF"/>
        <w:kinsoku/>
        <w:wordWrap/>
        <w:overflowPunct/>
        <w:topLinePunct w:val="0"/>
        <w:bidi w:val="0"/>
        <w:snapToGrid/>
        <w:spacing w:line="600" w:lineRule="exact"/>
        <w:ind w:firstLine="640" w:firstLineChars="20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第三条 国家留学基金委负责本项目的组织实施工作。有关省、自治区、直辖市教育（人社）厅/教委、新疆生产建设兵团教育局为各地项目主管部门并负责本地区项目组织实施工作。</w:t>
      </w:r>
    </w:p>
    <w:p>
      <w:pPr>
        <w:pageBreakBefore w:val="0"/>
        <w:widowControl/>
        <w:shd w:val="clear" w:color="auto" w:fill="FFFFFF"/>
        <w:kinsoku/>
        <w:wordWrap/>
        <w:overflowPunct/>
        <w:topLinePunct w:val="0"/>
        <w:bidi w:val="0"/>
        <w:snapToGrid/>
        <w:spacing w:line="600" w:lineRule="exact"/>
        <w:ind w:firstLine="640" w:firstLineChars="20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jc w:val="center"/>
        <w:textAlignment w:val="auto"/>
        <w:rPr>
          <w:rFonts w:ascii="黑体" w:hAnsi="黑体" w:eastAsia="黑体" w:cs="Helvetica"/>
          <w:color w:val="000000"/>
          <w:kern w:val="0"/>
          <w:sz w:val="32"/>
          <w:szCs w:val="32"/>
        </w:rPr>
      </w:pPr>
      <w:r>
        <w:rPr>
          <w:rFonts w:ascii="黑体" w:hAnsi="黑体" w:eastAsia="黑体" w:cs="Helvetica"/>
          <w:bCs/>
          <w:color w:val="000000"/>
          <w:kern w:val="0"/>
          <w:sz w:val="32"/>
          <w:szCs w:val="32"/>
        </w:rPr>
        <w:t xml:space="preserve">第二章 </w:t>
      </w:r>
      <w:r>
        <w:rPr>
          <w:rFonts w:hint="eastAsia" w:ascii="宋体" w:hAnsi="宋体" w:cs="宋体"/>
          <w:bCs/>
          <w:color w:val="000000"/>
          <w:kern w:val="0"/>
          <w:sz w:val="32"/>
          <w:szCs w:val="32"/>
        </w:rPr>
        <w:t xml:space="preserve"> </w:t>
      </w:r>
      <w:r>
        <w:rPr>
          <w:rFonts w:ascii="黑体" w:hAnsi="黑体" w:eastAsia="黑体" w:cs="Helvetica"/>
          <w:bCs/>
          <w:color w:val="000000"/>
          <w:kern w:val="0"/>
          <w:sz w:val="32"/>
          <w:szCs w:val="32"/>
        </w:rPr>
        <w:t>选派计划</w:t>
      </w:r>
    </w:p>
    <w:p>
      <w:pPr>
        <w:pageBreakBefore w:val="0"/>
        <w:widowControl/>
        <w:shd w:val="clear" w:color="auto" w:fill="FFFFFF"/>
        <w:kinsoku/>
        <w:wordWrap/>
        <w:overflowPunct/>
        <w:topLinePunct w:val="0"/>
        <w:bidi w:val="0"/>
        <w:snapToGrid/>
        <w:spacing w:line="600" w:lineRule="exact"/>
        <w:ind w:firstLine="480"/>
        <w:textAlignment w:val="auto"/>
        <w:rPr>
          <w:rFonts w:ascii="仿宋" w:hAnsi="仿宋" w:eastAsia="仿宋" w:cs="Helvetica"/>
          <w:color w:val="000000"/>
          <w:kern w:val="0"/>
          <w:sz w:val="32"/>
          <w:szCs w:val="32"/>
        </w:rPr>
      </w:pPr>
      <w:r>
        <w:rPr>
          <w:rFonts w:hint="default" w:ascii="仿宋" w:hAnsi="仿宋" w:eastAsia="仿宋" w:cs="Helvetica"/>
          <w:color w:val="000000"/>
          <w:kern w:val="0"/>
          <w:sz w:val="32"/>
          <w:szCs w:val="32"/>
        </w:rPr>
        <w:t>第四条 计划选派高级研究学者、访问学者、博士后3100人。</w:t>
      </w:r>
    </w:p>
    <w:p>
      <w:pPr>
        <w:pageBreakBefore w:val="0"/>
        <w:widowControl/>
        <w:shd w:val="clear" w:color="auto" w:fill="FFFFFF"/>
        <w:kinsoku/>
        <w:wordWrap/>
        <w:overflowPunct/>
        <w:topLinePunct w:val="0"/>
        <w:bidi w:val="0"/>
        <w:snapToGrid/>
        <w:spacing w:line="600" w:lineRule="exact"/>
        <w:ind w:firstLine="48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第五条 参加西部地区人才培养特别项目的省、自治区、直辖市包括：新疆维吾尔自治区、西藏自治区、内蒙古自治区、甘肃省、青海省、四川省、宁夏回族自治区、陕西省、重庆市、贵州省、广西壮族自治区、云南省、新疆生产建设兵团；参加地方合作项目的省包括：河北省、湖南省、河南省、海南省、辽宁省、吉林省、黑龙江省、浙江省、湖北省、江西省、广东省、山西省。</w:t>
      </w:r>
    </w:p>
    <w:p>
      <w:pPr>
        <w:pageBreakBefore w:val="0"/>
        <w:widowControl/>
        <w:shd w:val="clear" w:color="auto" w:fill="FFFFFF"/>
        <w:kinsoku/>
        <w:wordWrap/>
        <w:overflowPunct/>
        <w:topLinePunct w:val="0"/>
        <w:bidi w:val="0"/>
        <w:snapToGrid/>
        <w:spacing w:line="600" w:lineRule="exact"/>
        <w:ind w:firstLine="48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第六条 留学期限</w:t>
      </w:r>
    </w:p>
    <w:p>
      <w:pPr>
        <w:pageBreakBefore w:val="0"/>
        <w:widowControl/>
        <w:shd w:val="clear" w:color="auto" w:fill="FFFFFF"/>
        <w:kinsoku/>
        <w:wordWrap/>
        <w:overflowPunct/>
        <w:topLinePunct w:val="0"/>
        <w:bidi w:val="0"/>
        <w:snapToGrid/>
        <w:spacing w:line="600" w:lineRule="exact"/>
        <w:ind w:firstLine="48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高级研究学者：3-6个月。</w:t>
      </w:r>
    </w:p>
    <w:p>
      <w:pPr>
        <w:pageBreakBefore w:val="0"/>
        <w:widowControl/>
        <w:shd w:val="clear" w:color="auto" w:fill="FFFFFF"/>
        <w:kinsoku/>
        <w:wordWrap/>
        <w:overflowPunct/>
        <w:topLinePunct w:val="0"/>
        <w:bidi w:val="0"/>
        <w:snapToGrid/>
        <w:spacing w:line="600" w:lineRule="exact"/>
        <w:ind w:firstLine="48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访问学者：3-12个月。</w:t>
      </w:r>
    </w:p>
    <w:p>
      <w:pPr>
        <w:pageBreakBefore w:val="0"/>
        <w:widowControl/>
        <w:shd w:val="clear" w:color="auto" w:fill="FFFFFF"/>
        <w:kinsoku/>
        <w:wordWrap/>
        <w:overflowPunct/>
        <w:topLinePunct w:val="0"/>
        <w:bidi w:val="0"/>
        <w:snapToGrid/>
        <w:spacing w:line="600" w:lineRule="exact"/>
        <w:ind w:firstLine="48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博士后：6-24个月。</w:t>
      </w:r>
    </w:p>
    <w:p>
      <w:pPr>
        <w:pageBreakBefore w:val="0"/>
        <w:widowControl/>
        <w:shd w:val="clear" w:color="auto" w:fill="FFFFFF"/>
        <w:kinsoku/>
        <w:wordWrap/>
        <w:overflowPunct/>
        <w:topLinePunct w:val="0"/>
        <w:bidi w:val="0"/>
        <w:snapToGrid/>
        <w:spacing w:line="600" w:lineRule="exact"/>
        <w:ind w:firstLine="48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第七条 选派专业领域主要为</w:t>
      </w:r>
      <w:r>
        <w:rPr>
          <w:rFonts w:hint="default" w:ascii="仿宋" w:hAnsi="仿宋" w:eastAsia="仿宋" w:cs="Helvetica"/>
          <w:color w:val="000000"/>
          <w:kern w:val="0"/>
          <w:sz w:val="32"/>
          <w:szCs w:val="32"/>
        </w:rPr>
        <w:fldChar w:fldCharType="begin"/>
      </w:r>
      <w:r>
        <w:rPr>
          <w:rFonts w:hint="default" w:ascii="仿宋" w:hAnsi="仿宋" w:eastAsia="仿宋" w:cs="Helvetica"/>
          <w:color w:val="000000"/>
          <w:kern w:val="0"/>
          <w:sz w:val="32"/>
          <w:szCs w:val="32"/>
        </w:rPr>
        <w:instrText xml:space="preserve"> HYPERLINK "http://www.csc.edu.cn/article/1043" \t "http://www.csc.edu.cn/article/_blank" </w:instrText>
      </w:r>
      <w:r>
        <w:rPr>
          <w:rFonts w:hint="default" w:ascii="仿宋" w:hAnsi="仿宋" w:eastAsia="仿宋" w:cs="Helvetica"/>
          <w:color w:val="000000"/>
          <w:kern w:val="0"/>
          <w:sz w:val="32"/>
          <w:szCs w:val="32"/>
        </w:rPr>
        <w:fldChar w:fldCharType="separate"/>
      </w:r>
      <w:r>
        <w:rPr>
          <w:rFonts w:hint="default" w:ascii="仿宋" w:hAnsi="仿宋" w:eastAsia="仿宋" w:cs="Helvetica"/>
          <w:color w:val="000000"/>
          <w:kern w:val="0"/>
          <w:sz w:val="32"/>
          <w:szCs w:val="32"/>
        </w:rPr>
        <w:t>《国家中长期人才发展规划纲要（2010-2020年）》确定的经济和社会发展重点领域</w:t>
      </w:r>
      <w:r>
        <w:rPr>
          <w:rFonts w:hint="default" w:ascii="仿宋" w:hAnsi="仿宋" w:eastAsia="仿宋" w:cs="Helvetica"/>
          <w:color w:val="000000"/>
          <w:kern w:val="0"/>
          <w:sz w:val="32"/>
          <w:szCs w:val="32"/>
        </w:rPr>
        <w:fldChar w:fldCharType="end"/>
      </w:r>
      <w:r>
        <w:rPr>
          <w:rFonts w:hint="default" w:ascii="仿宋" w:hAnsi="仿宋" w:eastAsia="仿宋" w:cs="Helvetica"/>
          <w:color w:val="000000"/>
          <w:kern w:val="0"/>
          <w:sz w:val="32"/>
          <w:szCs w:val="32"/>
        </w:rPr>
        <w:t>，</w:t>
      </w:r>
      <w:r>
        <w:rPr>
          <w:rFonts w:hint="default" w:ascii="仿宋" w:hAnsi="仿宋" w:eastAsia="仿宋" w:cs="Helvetica"/>
          <w:color w:val="000000"/>
          <w:kern w:val="0"/>
          <w:sz w:val="32"/>
          <w:szCs w:val="32"/>
        </w:rPr>
        <w:fldChar w:fldCharType="begin"/>
      </w:r>
      <w:r>
        <w:rPr>
          <w:rFonts w:hint="default" w:ascii="仿宋" w:hAnsi="仿宋" w:eastAsia="仿宋" w:cs="Helvetica"/>
          <w:color w:val="000000"/>
          <w:kern w:val="0"/>
          <w:sz w:val="32"/>
          <w:szCs w:val="32"/>
        </w:rPr>
        <w:instrText xml:space="preserve"> HYPERLINK "http://www.csc.edu.cn/article/1044" \t "http://www.csc.edu.cn/article/_blank" </w:instrText>
      </w:r>
      <w:r>
        <w:rPr>
          <w:rFonts w:hint="default" w:ascii="仿宋" w:hAnsi="仿宋" w:eastAsia="仿宋" w:cs="Helvetica"/>
          <w:color w:val="000000"/>
          <w:kern w:val="0"/>
          <w:sz w:val="32"/>
          <w:szCs w:val="32"/>
        </w:rPr>
        <w:fldChar w:fldCharType="separate"/>
      </w:r>
      <w:r>
        <w:rPr>
          <w:rFonts w:hint="default" w:ascii="仿宋" w:hAnsi="仿宋" w:eastAsia="仿宋" w:cs="Helvetica"/>
          <w:color w:val="000000"/>
          <w:kern w:val="0"/>
          <w:sz w:val="32"/>
          <w:szCs w:val="32"/>
        </w:rPr>
        <w:t>《国家中长期科学和技术发展规划纲要（2006-2020年）》确定的重点领域、重大专项、前沿技术、基础研究</w:t>
      </w:r>
      <w:r>
        <w:rPr>
          <w:rFonts w:hint="default" w:ascii="仿宋" w:hAnsi="仿宋" w:eastAsia="仿宋" w:cs="Helvetica"/>
          <w:color w:val="000000"/>
          <w:kern w:val="0"/>
          <w:sz w:val="32"/>
          <w:szCs w:val="32"/>
        </w:rPr>
        <w:fldChar w:fldCharType="end"/>
      </w:r>
      <w:r>
        <w:rPr>
          <w:rFonts w:hint="default" w:ascii="仿宋" w:hAnsi="仿宋" w:eastAsia="仿宋" w:cs="Helvetica"/>
          <w:color w:val="000000"/>
          <w:kern w:val="0"/>
          <w:sz w:val="32"/>
          <w:szCs w:val="32"/>
        </w:rPr>
        <w:t>，人文与社会科学领域，其他国家战略和重要行业发展急需领域，以及地方经济社会发展急需领域。</w:t>
      </w:r>
    </w:p>
    <w:p>
      <w:pPr>
        <w:pageBreakBefore w:val="0"/>
        <w:widowControl/>
        <w:shd w:val="clear" w:color="auto" w:fill="FFFFFF"/>
        <w:kinsoku/>
        <w:wordWrap/>
        <w:overflowPunct/>
        <w:topLinePunct w:val="0"/>
        <w:bidi w:val="0"/>
        <w:snapToGrid/>
        <w:spacing w:line="600" w:lineRule="exact"/>
        <w:ind w:firstLine="48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第八条 重点支持留学人员前往教育、科技发达国家和地区的知名院校、科研院所、实验室等机构。</w:t>
      </w:r>
    </w:p>
    <w:p>
      <w:pPr>
        <w:pageBreakBefore w:val="0"/>
        <w:widowControl/>
        <w:shd w:val="clear" w:color="auto" w:fill="FFFFFF"/>
        <w:kinsoku/>
        <w:wordWrap/>
        <w:overflowPunct/>
        <w:topLinePunct w:val="0"/>
        <w:bidi w:val="0"/>
        <w:snapToGrid/>
        <w:spacing w:line="600" w:lineRule="exact"/>
        <w:ind w:firstLine="48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留学人员主要通过推选单位或个人渠道联系国外留学单位派出，也可利用地方或国家留学基金委与国外教育、科研机构合作协议派出（国家留学基金委统一安排成班派出项目）。</w:t>
      </w:r>
    </w:p>
    <w:p>
      <w:pPr>
        <w:pageBreakBefore w:val="0"/>
        <w:widowControl/>
        <w:shd w:val="clear" w:color="auto" w:fill="FFFFFF"/>
        <w:kinsoku/>
        <w:wordWrap/>
        <w:overflowPunct/>
        <w:topLinePunct w:val="0"/>
        <w:bidi w:val="0"/>
        <w:snapToGrid/>
        <w:spacing w:line="600" w:lineRule="exact"/>
        <w:ind w:firstLine="48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第九条 国家留学基金为留学人员提供一次往返国际旅费和资助期限内的奖学金（包括伙食费、住宿费、注册费、交通费、电话费、书籍资料费、医疗保险费、交际费、一次性安置费、签证延长费、零用费和学术活动补助费等）。奖学金资助标准及方式按照国家有关规定执行。</w:t>
      </w:r>
    </w:p>
    <w:p>
      <w:pPr>
        <w:pageBreakBefore w:val="0"/>
        <w:widowControl/>
        <w:shd w:val="clear" w:color="auto" w:fill="FFFFFF"/>
        <w:kinsoku/>
        <w:wordWrap/>
        <w:overflowPunct/>
        <w:topLinePunct w:val="0"/>
        <w:bidi w:val="0"/>
        <w:snapToGrid/>
        <w:spacing w:line="600" w:lineRule="exact"/>
        <w:ind w:firstLine="480"/>
        <w:textAlignment w:val="auto"/>
        <w:rPr>
          <w:rFonts w:hint="default" w:ascii="仿宋" w:hAnsi="仿宋" w:eastAsia="仿宋" w:cs="Helvetica"/>
          <w:color w:val="000000"/>
          <w:kern w:val="0"/>
          <w:sz w:val="32"/>
          <w:szCs w:val="32"/>
        </w:rPr>
      </w:pPr>
      <w:r>
        <w:rPr>
          <w:rFonts w:hint="default" w:ascii="仿宋" w:hAnsi="仿宋" w:eastAsia="仿宋" w:cs="Helvetica"/>
          <w:color w:val="000000"/>
          <w:kern w:val="0"/>
          <w:sz w:val="32"/>
          <w:szCs w:val="32"/>
        </w:rPr>
        <w:t>参加国家留学基金委与国外教育、科研机构合作协议派出者（国家留学基金委统一安排成班派出项目）的人员，国家留学基金委可提供学费资助。具体资助方式、资助标准等以录取文件为准。</w:t>
      </w:r>
    </w:p>
    <w:p>
      <w:pPr>
        <w:pageBreakBefore w:val="0"/>
        <w:widowControl/>
        <w:shd w:val="clear" w:color="auto" w:fill="FFFFFF"/>
        <w:kinsoku/>
        <w:wordWrap/>
        <w:overflowPunct/>
        <w:topLinePunct w:val="0"/>
        <w:bidi w:val="0"/>
        <w:snapToGrid/>
        <w:spacing w:line="600" w:lineRule="exact"/>
        <w:jc w:val="center"/>
        <w:textAlignment w:val="auto"/>
        <w:rPr>
          <w:rFonts w:ascii="黑体" w:hAnsi="黑体" w:eastAsia="黑体" w:cs="Helvetica"/>
          <w:color w:val="000000"/>
          <w:kern w:val="0"/>
          <w:sz w:val="32"/>
          <w:szCs w:val="32"/>
        </w:rPr>
      </w:pPr>
      <w:r>
        <w:rPr>
          <w:rFonts w:ascii="黑体" w:hAnsi="黑体" w:eastAsia="黑体" w:cs="Helvetica"/>
          <w:bCs/>
          <w:color w:val="000000"/>
          <w:kern w:val="0"/>
          <w:sz w:val="32"/>
          <w:szCs w:val="32"/>
        </w:rPr>
        <w:t xml:space="preserve">第三章 </w:t>
      </w:r>
      <w:r>
        <w:rPr>
          <w:rFonts w:hint="eastAsia" w:ascii="宋体" w:hAnsi="宋体" w:cs="宋体"/>
          <w:bCs/>
          <w:color w:val="000000"/>
          <w:kern w:val="0"/>
          <w:sz w:val="32"/>
          <w:szCs w:val="32"/>
        </w:rPr>
        <w:t xml:space="preserve"> </w:t>
      </w:r>
      <w:r>
        <w:rPr>
          <w:rFonts w:ascii="黑体" w:hAnsi="黑体" w:eastAsia="黑体" w:cs="Helvetica"/>
          <w:bCs/>
          <w:color w:val="000000"/>
          <w:kern w:val="0"/>
          <w:sz w:val="32"/>
          <w:szCs w:val="32"/>
        </w:rPr>
        <w:t>申请条件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第十条 符合</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"http://www.csc.edu.cn/article/1042"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《2018年国家留学基金资助出国留学人员选派简章》</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规定的申请人基本条件及有关省、自治区、直辖市规定的其他条件。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第十一条 须为国内高等学校、企业事业单位、行政机关、科研机构的正式工作人员。申请人原则上应主持或参与研究项目、课题，出国研修计划应紧密结合在研项目、课题及所在单位重点工作。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第十二条 高级研究学者申请人应符合以下条件：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申请时年龄不超过55周岁（含55周岁，以申请日期为准）。教学科研人员应为教授或博士生导师。此外，申请人还至少具备以下条件之一：</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（一）国家重点实验室、教育部重点实验室、国家工程（技术）研究中心骨干。</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（二）两院院士、长江学者特聘教授、“国家高层次人才特殊支持计划”杰出人才或领军人才入选者、其他国家级人才计划入选者。</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（三）中央国家机关、地方行政管理部门、国有大中型企业高级行政管理人员，须具有或相当于副司局级（含副司局级）以上行政职务。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第十三条 访问学者申请人应符合以下条件：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年龄不超过50周岁（含50周岁，以申请日期为准），本科毕业后一般应有5年以上的工作经历，硕士毕业后一般应有2年以上的工作经历。对博士毕业的申请人，没有工作年限的要求。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第十四条 博士后申请人应符合以下条件：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年龄不超过40周岁（含40周岁，以申请日期为准），应为国内高等学校或科研单位具有博士学位、具体从事教学或科研工作的优秀在职青年教师或科研人员。申请时距其博士毕业时间应在3年以内。</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第十五条 申请时须提交国外大学或科研机构的邀请函。申请国家留学基金委与国外教育、科研机构合作协议派出者（国家留学基金委统一安排成班派出项目）不需提交。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第十六条 外语水平需达到</w:t>
      </w:r>
      <w:r>
        <w:rPr>
          <w:rFonts w:hint="eastAsia" w:ascii="仿宋" w:hAnsi="仿宋" w:eastAsia="仿宋" w:cs="仿宋"/>
          <w:b w:val="0"/>
          <w:i w:val="0"/>
          <w:caps w:val="0"/>
          <w:color w:val="auto"/>
          <w:spacing w:val="0"/>
          <w:sz w:val="32"/>
          <w:szCs w:val="32"/>
          <w:u w:val="none"/>
          <w:shd w:val="clear" w:fill="FFFFFF"/>
        </w:rPr>
        <w:fldChar w:fldCharType="begin"/>
      </w:r>
      <w:r>
        <w:rPr>
          <w:rFonts w:hint="eastAsia" w:ascii="仿宋" w:hAnsi="仿宋" w:eastAsia="仿宋" w:cs="仿宋"/>
          <w:b w:val="0"/>
          <w:i w:val="0"/>
          <w:caps w:val="0"/>
          <w:color w:val="auto"/>
          <w:spacing w:val="0"/>
          <w:sz w:val="32"/>
          <w:szCs w:val="32"/>
          <w:u w:val="none"/>
          <w:shd w:val="clear" w:fill="FFFFFF"/>
        </w:rPr>
        <w:instrText xml:space="preserve"> HYPERLINK "http://www.csc.edu.cn/article/1042" \t "http://www.csc.edu.cn/article/_blank" </w:instrText>
      </w:r>
      <w:r>
        <w:rPr>
          <w:rFonts w:hint="eastAsia" w:ascii="仿宋" w:hAnsi="仿宋" w:eastAsia="仿宋" w:cs="仿宋"/>
          <w:b w:val="0"/>
          <w:i w:val="0"/>
          <w:caps w:val="0"/>
          <w:color w:val="auto"/>
          <w:spacing w:val="0"/>
          <w:sz w:val="32"/>
          <w:szCs w:val="32"/>
          <w:u w:val="none"/>
          <w:shd w:val="clear" w:fill="FFFFFF"/>
        </w:rPr>
        <w:fldChar w:fldCharType="separate"/>
      </w:r>
      <w:r>
        <w:rPr>
          <w:rStyle w:val="10"/>
          <w:rFonts w:hint="eastAsia" w:ascii="仿宋" w:hAnsi="仿宋" w:eastAsia="仿宋" w:cs="仿宋"/>
          <w:b w:val="0"/>
          <w:i w:val="0"/>
          <w:caps w:val="0"/>
          <w:color w:val="auto"/>
          <w:spacing w:val="0"/>
          <w:sz w:val="32"/>
          <w:szCs w:val="32"/>
          <w:u w:val="none"/>
          <w:shd w:val="clear" w:fill="FFFFFF"/>
        </w:rPr>
        <w:t>《2018年国家留学基金资助出国留学人员选拔简章》</w:t>
      </w:r>
      <w:r>
        <w:rPr>
          <w:rFonts w:hint="eastAsia" w:ascii="仿宋" w:hAnsi="仿宋" w:eastAsia="仿宋" w:cs="仿宋"/>
          <w:b w:val="0"/>
          <w:i w:val="0"/>
          <w:caps w:val="0"/>
          <w:color w:val="auto"/>
          <w:spacing w:val="0"/>
          <w:sz w:val="32"/>
          <w:szCs w:val="32"/>
          <w:u w:val="none"/>
          <w:shd w:val="clear" w:fill="FFFFFF"/>
        </w:rPr>
        <w:fldChar w:fldCharType="end"/>
      </w:r>
      <w:r>
        <w:rPr>
          <w:rFonts w:hint="eastAsia" w:ascii="仿宋" w:hAnsi="仿宋" w:eastAsia="仿宋" w:cs="仿宋"/>
          <w:b w:val="0"/>
          <w:i w:val="0"/>
          <w:caps w:val="0"/>
          <w:color w:val="auto"/>
          <w:spacing w:val="0"/>
          <w:sz w:val="32"/>
          <w:szCs w:val="32"/>
          <w:u w:val="none"/>
          <w:shd w:val="clear" w:fill="FFFFFF"/>
        </w:rPr>
        <w:t>确定的国家留学基金资助出国留学外语合格条件。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申请时外语水平未达到合格标准者，如系所在单位重点推荐，亦可申请，但须提供可以反映其外语水平的外语考试成绩证明，如WSK/TOEFL/IELTS考试成绩单复印件等。此部分人员被录取后，须参加教育部指定出国留学人员培训部相关语种培训或自行参加相应外语考试，获得相关培训结业证书或考试成绩达到合格标准后方可派出。希望参加外语培训者，应在申请表中注明意向培训地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同等条件下，优先考虑录取申请时外语水平达到合格标准者。</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auto"/>
          <w:spacing w:val="0"/>
          <w:sz w:val="32"/>
          <w:szCs w:val="32"/>
          <w:u w:val="none"/>
        </w:rPr>
      </w:pPr>
      <w:r>
        <w:rPr>
          <w:rFonts w:hint="eastAsia" w:ascii="仿宋" w:hAnsi="仿宋" w:eastAsia="仿宋" w:cs="仿宋"/>
          <w:b w:val="0"/>
          <w:i w:val="0"/>
          <w:caps w:val="0"/>
          <w:color w:val="auto"/>
          <w:spacing w:val="0"/>
          <w:sz w:val="32"/>
          <w:szCs w:val="32"/>
          <w:u w:val="none"/>
          <w:shd w:val="clear" w:fill="FFFFFF"/>
        </w:rPr>
        <w:t>第十七条 申请通过地方或国家留学基金委与国外有关教育、科研机构合作协议派出者（国家留学基金委统一安排成班派出项目），还需满足协议要求的其他条件。</w:t>
      </w:r>
    </w:p>
    <w:p>
      <w:pPr>
        <w:pageBreakBefore w:val="0"/>
        <w:widowControl/>
        <w:shd w:val="clear" w:color="auto" w:fill="FFFFFF"/>
        <w:kinsoku/>
        <w:wordWrap/>
        <w:overflowPunct/>
        <w:topLinePunct w:val="0"/>
        <w:bidi w:val="0"/>
        <w:snapToGrid/>
        <w:spacing w:line="600" w:lineRule="exact"/>
        <w:jc w:val="center"/>
        <w:textAlignment w:val="auto"/>
        <w:rPr>
          <w:rFonts w:ascii="黑体" w:hAnsi="黑体" w:eastAsia="黑体" w:cs="Helvetica"/>
          <w:color w:val="000000"/>
          <w:kern w:val="0"/>
          <w:sz w:val="32"/>
          <w:szCs w:val="32"/>
        </w:rPr>
      </w:pPr>
      <w:r>
        <w:rPr>
          <w:rFonts w:ascii="黑体" w:hAnsi="黑体" w:eastAsia="黑体" w:cs="Helvetica"/>
          <w:bCs/>
          <w:color w:val="000000"/>
          <w:kern w:val="0"/>
          <w:sz w:val="32"/>
          <w:szCs w:val="32"/>
        </w:rPr>
        <w:t xml:space="preserve">第四章 </w:t>
      </w:r>
      <w:r>
        <w:rPr>
          <w:rFonts w:hint="eastAsia" w:ascii="黑体" w:hAnsi="黑体" w:eastAsia="黑体" w:cs="Helvetica"/>
          <w:bCs/>
          <w:color w:val="000000"/>
          <w:kern w:val="0"/>
          <w:sz w:val="32"/>
          <w:szCs w:val="32"/>
        </w:rPr>
        <w:t xml:space="preserve"> </w:t>
      </w:r>
      <w:r>
        <w:rPr>
          <w:rFonts w:ascii="黑体" w:hAnsi="黑体" w:eastAsia="黑体" w:cs="Helvetica"/>
          <w:bCs/>
          <w:color w:val="000000"/>
          <w:kern w:val="0"/>
          <w:sz w:val="32"/>
          <w:szCs w:val="32"/>
        </w:rPr>
        <w:t>选拔办法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color w:val="000000"/>
          <w:kern w:val="0"/>
          <w:sz w:val="32"/>
          <w:szCs w:val="32"/>
        </w:rPr>
        <w:t xml:space="preserve"> </w:t>
      </w:r>
      <w:r>
        <w:rPr>
          <w:rFonts w:hint="eastAsia" w:ascii="仿宋" w:hAnsi="仿宋" w:eastAsia="仿宋" w:cs="仿宋"/>
          <w:b w:val="0"/>
          <w:i w:val="0"/>
          <w:caps w:val="0"/>
          <w:color w:val="000000"/>
          <w:spacing w:val="0"/>
          <w:sz w:val="32"/>
          <w:szCs w:val="32"/>
          <w:shd w:val="clear" w:fill="FFFFFF"/>
        </w:rPr>
        <w:t>第十八条 遵循“公开、公平、公正”的原则，采取“个人申请，单位推荐，专家评审，择优录取”的方式进行选拔。</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第十九条 符合申请条件者，按规定程序和办法申请。2018年网上报名及申请受理时间为：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国家留学基金委统一安排成班派出项目（中学英语教师出国研修项目，高等教育行政管理人员出国研修项目，高校英语教师出国研修项目，高校专业课程教师出国研修项目，高等教育教学法出国研修项目）——1月5日-1月15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所在单位或个人合作渠道（含已获批地方子项目）——4月1日-4月15日。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申请人应在规定期限内登录国家公派留学管理信息平台（</w:t>
      </w:r>
      <w:r>
        <w:rPr>
          <w:rFonts w:hint="eastAsia" w:ascii="仿宋" w:hAnsi="仿宋" w:eastAsia="仿宋" w:cs="仿宋"/>
          <w:b w:val="0"/>
          <w:i w:val="0"/>
          <w:caps w:val="0"/>
          <w:spacing w:val="0"/>
          <w:sz w:val="32"/>
          <w:szCs w:val="32"/>
          <w:shd w:val="clear" w:fill="FFFFFF"/>
        </w:rPr>
        <w:fldChar w:fldCharType="begin"/>
      </w:r>
      <w:r>
        <w:rPr>
          <w:rFonts w:hint="eastAsia" w:ascii="仿宋" w:hAnsi="仿宋" w:eastAsia="仿宋" w:cs="仿宋"/>
          <w:b w:val="0"/>
          <w:i w:val="0"/>
          <w:caps w:val="0"/>
          <w:spacing w:val="0"/>
          <w:sz w:val="32"/>
          <w:szCs w:val="32"/>
          <w:shd w:val="clear" w:fill="FFFFFF"/>
        </w:rPr>
        <w:instrText xml:space="preserve"> HYPERLINK "http://apply.csc.edu.cn/" \t "http://www.csc.edu.cn/article/_blank" </w:instrText>
      </w:r>
      <w:r>
        <w:rPr>
          <w:rFonts w:hint="eastAsia" w:ascii="仿宋" w:hAnsi="仿宋" w:eastAsia="仿宋" w:cs="仿宋"/>
          <w:b w:val="0"/>
          <w:i w:val="0"/>
          <w:caps w:val="0"/>
          <w:spacing w:val="0"/>
          <w:sz w:val="32"/>
          <w:szCs w:val="32"/>
          <w:shd w:val="clear" w:fill="FFFFFF"/>
        </w:rPr>
        <w:fldChar w:fldCharType="separate"/>
      </w:r>
      <w:r>
        <w:rPr>
          <w:rStyle w:val="10"/>
          <w:rFonts w:hint="eastAsia" w:ascii="仿宋" w:hAnsi="仿宋" w:eastAsia="仿宋" w:cs="仿宋"/>
          <w:b w:val="0"/>
          <w:i w:val="0"/>
          <w:caps w:val="0"/>
          <w:spacing w:val="0"/>
          <w:sz w:val="32"/>
          <w:szCs w:val="32"/>
          <w:shd w:val="clear" w:fill="FFFFFF"/>
        </w:rPr>
        <w:t>http://apply.csc.edu.cn</w:t>
      </w:r>
      <w:r>
        <w:rPr>
          <w:rFonts w:hint="eastAsia" w:ascii="仿宋" w:hAnsi="仿宋" w:eastAsia="仿宋" w:cs="仿宋"/>
          <w:b w:val="0"/>
          <w:i w:val="0"/>
          <w:caps w:val="0"/>
          <w:spacing w:val="0"/>
          <w:sz w:val="32"/>
          <w:szCs w:val="32"/>
          <w:shd w:val="clear" w:fill="FFFFFF"/>
        </w:rPr>
        <w:fldChar w:fldCharType="end"/>
      </w:r>
      <w:r>
        <w:rPr>
          <w:rFonts w:hint="eastAsia" w:ascii="仿宋" w:hAnsi="仿宋" w:eastAsia="仿宋" w:cs="仿宋"/>
          <w:b w:val="0"/>
          <w:i w:val="0"/>
          <w:caps w:val="0"/>
          <w:color w:val="000000"/>
          <w:spacing w:val="0"/>
          <w:sz w:val="32"/>
          <w:szCs w:val="32"/>
          <w:shd w:val="clear" w:fill="FFFFFF"/>
        </w:rPr>
        <w:t>）进行网上报名，按照《关于准备国家留学基金资助出国留学申请材料的说明（西部地区人才培养特别项目/地方合作项目）》准备申请材料并提交所在单位审核。所有申请材料须确保齐全、真实有效。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第二十条 推选单位应对申请人的资格、综合素质、发展潜力、出国留学必要性、学习计划可行性、品德修养、及身体、心理健康情况等方面进行严格审核（评审），对其出国留学提出明确目标要求后，出具有针对性的单位推荐意见。推选单位在对申请人材料进行认真审核后，将申请材料统一提交或委托申请人提交至各有关省、自治区、直辖市项目主管部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第二十一条 有关省、自治区、直辖市项目主管部门负责申请受理工作（详见国家留学网</w:t>
      </w:r>
      <w:r>
        <w:rPr>
          <w:rFonts w:hint="eastAsia" w:ascii="仿宋" w:hAnsi="仿宋" w:eastAsia="仿宋" w:cs="仿宋"/>
          <w:b w:val="0"/>
          <w:i w:val="0"/>
          <w:caps w:val="0"/>
          <w:spacing w:val="0"/>
          <w:sz w:val="32"/>
          <w:szCs w:val="32"/>
          <w:shd w:val="clear" w:fill="FFFFFF"/>
        </w:rPr>
        <w:fldChar w:fldCharType="begin"/>
      </w:r>
      <w:r>
        <w:rPr>
          <w:rFonts w:hint="eastAsia" w:ascii="仿宋" w:hAnsi="仿宋" w:eastAsia="仿宋" w:cs="仿宋"/>
          <w:b w:val="0"/>
          <w:i w:val="0"/>
          <w:caps w:val="0"/>
          <w:spacing w:val="0"/>
          <w:sz w:val="32"/>
          <w:szCs w:val="32"/>
          <w:shd w:val="clear" w:fill="FFFFFF"/>
        </w:rPr>
        <w:instrText xml:space="preserve"> HYPERLINK "http://www.csc.edu.cn/" \t "http://www.csc.edu.cn/article/_blank" </w:instrText>
      </w:r>
      <w:r>
        <w:rPr>
          <w:rFonts w:hint="eastAsia" w:ascii="仿宋" w:hAnsi="仿宋" w:eastAsia="仿宋" w:cs="仿宋"/>
          <w:b w:val="0"/>
          <w:i w:val="0"/>
          <w:caps w:val="0"/>
          <w:spacing w:val="0"/>
          <w:sz w:val="32"/>
          <w:szCs w:val="32"/>
          <w:shd w:val="clear" w:fill="FFFFFF"/>
        </w:rPr>
        <w:fldChar w:fldCharType="separate"/>
      </w:r>
      <w:r>
        <w:rPr>
          <w:rStyle w:val="10"/>
          <w:rFonts w:hint="eastAsia" w:ascii="仿宋" w:hAnsi="仿宋" w:eastAsia="仿宋" w:cs="仿宋"/>
          <w:b w:val="0"/>
          <w:i w:val="0"/>
          <w:caps w:val="0"/>
          <w:spacing w:val="0"/>
          <w:sz w:val="32"/>
          <w:szCs w:val="32"/>
          <w:shd w:val="clear" w:fill="FFFFFF"/>
        </w:rPr>
        <w:t>www.csc.edu.com</w:t>
      </w:r>
      <w:r>
        <w:rPr>
          <w:rFonts w:hint="eastAsia" w:ascii="仿宋" w:hAnsi="仿宋" w:eastAsia="仿宋" w:cs="仿宋"/>
          <w:b w:val="0"/>
          <w:i w:val="0"/>
          <w:caps w:val="0"/>
          <w:spacing w:val="0"/>
          <w:sz w:val="32"/>
          <w:szCs w:val="32"/>
          <w:shd w:val="clear" w:fill="FFFFFF"/>
        </w:rPr>
        <w:fldChar w:fldCharType="end"/>
      </w:r>
      <w:r>
        <w:rPr>
          <w:rFonts w:hint="eastAsia" w:ascii="仿宋" w:hAnsi="仿宋" w:eastAsia="仿宋" w:cs="仿宋"/>
          <w:b w:val="0"/>
          <w:i w:val="0"/>
          <w:caps w:val="0"/>
          <w:color w:val="000000"/>
          <w:spacing w:val="0"/>
          <w:sz w:val="32"/>
          <w:szCs w:val="32"/>
          <w:shd w:val="clear" w:fill="FFFFFF"/>
        </w:rPr>
        <w:t>浏览“受理机构通讯录”查询）。</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国家留学基金委不直接受理个人申请。</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第二十二条 有关省、自治区、直辖市项目主管部门对申请人的材料进行审核：</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国家留学基金委统一安排成班派出项目（中学英语教师出国研修项目，高等教育行政管理人员出国研修项目，高校英语教师出国研修项目，高校专业课程教师出国研修项目，高等教育教学法出国研修项目）。于1月22日前将受理、审核工作情况以书面公函形式提交国家留学基金委，并通过国家公派留学管理信息平台提交审核合格的申请人的电子材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-所在单位或个人合作渠道。于4月22日前将受理、审核工作情况以书面公函形式提交国家留学基金委，并通过国家公派留学管理信息平台提交审核合格的申请人的电子材料。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申请人的书面材料由项目主管部门留存，留存期限为3年。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第二十三条 国家留学基金委将对申请人进行材料审核，组织专家通过材料评审或面试的方式进行评审，确定最终录取人员名单。评审工作主要从以下几方面进行考察：</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（一）申请人综合素质。包括申请人的专业基础、科研项目、经历及能力、综合表现、国际交流能力（含外语水平）和发展潜力等；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（二）留学目的国、留学单位在所选学科专业领域的研究水平；</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（三）国外导师情况；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（四）拟留学专业情况；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（五）出国留学必要性和学习计划的可行性；</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（六）所在单位对申请人的推荐意见。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第二十四条 国家留学基金委统一安排成班派出项目（中学英语教师出国研修项目，高等教育行政管理人员出国研修项目，高校英语教师出国研修项目，高校专业课程教师出国研修项目，高等教育教学法出国研修项目）录取结果将于2018年4月公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所在单位或个人合作渠道（含地方子项目）录取结果将于2018年7月公布。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申请人可登录国家公派留学管理信息平台查询录取结果。录取通知将发放至各有关省、自治区、直辖市项目主管部门。</w:t>
      </w:r>
    </w:p>
    <w:p>
      <w:pPr>
        <w:pageBreakBefore w:val="0"/>
        <w:widowControl/>
        <w:shd w:val="clear" w:color="auto" w:fill="FFFFFF"/>
        <w:kinsoku/>
        <w:wordWrap/>
        <w:overflowPunct/>
        <w:topLinePunct w:val="0"/>
        <w:bidi w:val="0"/>
        <w:snapToGrid/>
        <w:spacing w:line="600" w:lineRule="exact"/>
        <w:ind w:firstLine="480"/>
        <w:textAlignment w:val="auto"/>
        <w:rPr>
          <w:rFonts w:ascii="仿宋" w:hAnsi="仿宋" w:eastAsia="仿宋" w:cs="Helvetica"/>
          <w:color w:val="000000"/>
          <w:kern w:val="0"/>
          <w:sz w:val="32"/>
          <w:szCs w:val="32"/>
        </w:rPr>
      </w:pPr>
    </w:p>
    <w:p>
      <w:pPr>
        <w:pageBreakBefore w:val="0"/>
        <w:widowControl/>
        <w:shd w:val="clear" w:color="auto" w:fill="FFFFFF"/>
        <w:kinsoku/>
        <w:wordWrap/>
        <w:overflowPunct/>
        <w:topLinePunct w:val="0"/>
        <w:bidi w:val="0"/>
        <w:snapToGrid/>
        <w:spacing w:line="600" w:lineRule="exact"/>
        <w:jc w:val="center"/>
        <w:textAlignment w:val="auto"/>
        <w:rPr>
          <w:rFonts w:ascii="黑体" w:hAnsi="黑体" w:eastAsia="黑体" w:cs="Helvetica"/>
          <w:color w:val="000000"/>
          <w:kern w:val="0"/>
          <w:sz w:val="32"/>
          <w:szCs w:val="32"/>
        </w:rPr>
      </w:pPr>
      <w:r>
        <w:rPr>
          <w:rFonts w:ascii="黑体" w:hAnsi="黑体" w:eastAsia="黑体" w:cs="Helvetica"/>
          <w:bCs/>
          <w:color w:val="000000"/>
          <w:kern w:val="0"/>
          <w:sz w:val="32"/>
          <w:szCs w:val="32"/>
        </w:rPr>
        <w:t xml:space="preserve">第五章 </w:t>
      </w:r>
      <w:r>
        <w:rPr>
          <w:rFonts w:hint="eastAsia" w:ascii="宋体" w:hAnsi="宋体" w:cs="宋体"/>
          <w:bCs/>
          <w:color w:val="000000"/>
          <w:kern w:val="0"/>
          <w:sz w:val="32"/>
          <w:szCs w:val="32"/>
        </w:rPr>
        <w:t xml:space="preserve"> </w:t>
      </w:r>
      <w:r>
        <w:rPr>
          <w:rFonts w:ascii="黑体" w:hAnsi="黑体" w:eastAsia="黑体" w:cs="Helvetica"/>
          <w:bCs/>
          <w:color w:val="000000"/>
          <w:kern w:val="0"/>
          <w:sz w:val="32"/>
          <w:szCs w:val="32"/>
        </w:rPr>
        <w:t>派出与管理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第二十五条 留学人员的留学资格有效期保留至2019年9月30日（国家留学基金委统一安排成班派出项目和地方子项目有特殊要求的以录取通知为准）。凡未按期派出者，其留学资格将自动取消。未经批准放弃资格或不按期派出者，5年内不得再申请国家公派出国留学。经国家留学基金委批准放弃留学资格者，2年内不得再申请国家公派出国留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国家留学基金委原则上不受理变更留学国别、变更留学单位、变更留学期限及延期派出的申请。</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第二十六条 对留学人员实行“签约派出、违约赔偿”的管理办法。派出前，留学人员须持《资助出国留学协议书》赴公证处办理签约公证手续，按要求提交补充材料、办理护照、签证、《国际旅行健康证书》，通过教育部留学服务中心、教育部出国人员上海集训部、广州留学人员服务中心办理预订机票、预领奖学金手续(具体请查阅《出国留学人员须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请留学人员登录国家公派留学管理信息平台查阅是否需要提交补充材料及提交方式。如遇问题，请按录取国别或地区联系国家留学基金委欧洲事务部、亚非事务部、美大事务部（请登录国家留学网，查询联系方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第二十七条 在为留学人员办理派出手续时，推选单位及留学服务机构应按要求认真审核留学人员的留学国别、留学单位、留学期限等信息。</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第二十八条 推选单位应跟踪评估留学人员学习研究情况，制定本单位有关管理办法，统筹考虑“选拔、派出、管理、回国”各环节，对留学人员加强目标和过程管理，具体工作应有专门机构和人员负责。</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留学人员派出前，推选单位应对其进行行前教育，并指导、协助其办理出国手续；同时，加强心理、精神和道德与诚信等方面的教育指导。</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推选单位应合理安排留学人员工作，保证按期派出，并于9月底前将本年度录取未派出人员名单及原因提交各省、自治区、直辖市项目主管部门。有关省、自治区、直辖市项目主管部门收集各推选单位情况后统一提交国家留学基金委。</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留学人员派出后，应加强对其指导和检查，保持定期联系，协助国家留学基金委和驻外使（领）馆做好在外管理和按期回国工作。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在留学人员回国后，应进行考核，确保留学效益。</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第二十九条 按照《资助出国留学协议书》规定，留学人员自抵达留学所在国后十日内须凭《国家留学基金资助出国留学资格证书》、《国家公派留学人员报到证明》向中国驻留学所在国使（领）馆办理报到手续后方可享受国家留学基金资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第三十条 留学人员在国外留学期间，应遵守所在国法律法规、国家留学基金资助出国留学人员的有关规定及《资助出国留学协议书》的有关约定，自觉接受推选单位和驻外使（领）馆的管理，按要求定期向推选单位和驻外使（领）馆提交研修报告及国外合作者鉴定，学成后应履行回国服务义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第三十一条 留学人员应按协议约定完成所制定的研修计划及推选单位提出的任务和要求，履行按期回国回省回原单位服务的义务。回国后以适当形式向推选单位汇报留学成果。留学人员自回国之日起3个月内须在国家公派留学管理信息平台登记回国信息。</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各有关省、自治区、直辖市项目主管部门及推选单位应定期对本地区及本单位派出、回国情况以及取得的公派留学效益等情况进行总结，将总结报告连同典型事例等材料提交至国家留学基金委。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第三十二条 留学人员与获得资助有关的论文、研究项目或科研成果在成文、发表、公开时，应注明“本研究/成果/论文得到中国国家留学基金资助”。</w:t>
      </w:r>
    </w:p>
    <w:p>
      <w:pPr>
        <w:pageBreakBefore w:val="0"/>
        <w:widowControl/>
        <w:kinsoku/>
        <w:wordWrap/>
        <w:overflowPunct/>
        <w:topLinePunct w:val="0"/>
        <w:bidi w:val="0"/>
        <w:snapToGrid/>
        <w:spacing w:line="600" w:lineRule="exact"/>
        <w:textAlignment w:val="auto"/>
        <w:rPr>
          <w:rFonts w:ascii="黑体" w:hAnsi="黑体" w:eastAsia="黑体" w:cs="Arial"/>
          <w:kern w:val="0"/>
          <w:sz w:val="32"/>
          <w:szCs w:val="32"/>
        </w:rPr>
      </w:pPr>
    </w:p>
    <w:p>
      <w:pPr>
        <w:pageBreakBefore w:val="0"/>
        <w:widowControl/>
        <w:kinsoku/>
        <w:wordWrap/>
        <w:overflowPunct/>
        <w:topLinePunct w:val="0"/>
        <w:bidi w:val="0"/>
        <w:snapToGrid/>
        <w:spacing w:line="600" w:lineRule="exact"/>
        <w:textAlignment w:val="auto"/>
        <w:rPr>
          <w:rFonts w:ascii="黑体" w:hAnsi="黑体" w:eastAsia="黑体" w:cs="Arial"/>
          <w:kern w:val="0"/>
          <w:sz w:val="32"/>
          <w:szCs w:val="32"/>
        </w:rPr>
      </w:pPr>
    </w:p>
    <w:p>
      <w:pPr>
        <w:pageBreakBefore w:val="0"/>
        <w:widowControl/>
        <w:kinsoku/>
        <w:wordWrap/>
        <w:overflowPunct/>
        <w:topLinePunct w:val="0"/>
        <w:bidi w:val="0"/>
        <w:snapToGrid/>
        <w:spacing w:line="600" w:lineRule="exact"/>
        <w:textAlignment w:val="auto"/>
        <w:rPr>
          <w:rFonts w:ascii="黑体" w:hAnsi="黑体" w:eastAsia="黑体" w:cs="Arial"/>
          <w:kern w:val="0"/>
          <w:sz w:val="32"/>
          <w:szCs w:val="32"/>
        </w:rPr>
      </w:pPr>
    </w:p>
    <w:p>
      <w:pPr>
        <w:pageBreakBefore w:val="0"/>
        <w:widowControl/>
        <w:kinsoku/>
        <w:wordWrap/>
        <w:overflowPunct/>
        <w:topLinePunct w:val="0"/>
        <w:bidi w:val="0"/>
        <w:snapToGrid/>
        <w:spacing w:line="600" w:lineRule="exact"/>
        <w:textAlignment w:val="auto"/>
        <w:rPr>
          <w:rFonts w:ascii="黑体" w:hAnsi="黑体" w:eastAsia="黑体" w:cs="Arial"/>
          <w:kern w:val="0"/>
          <w:sz w:val="32"/>
          <w:szCs w:val="32"/>
        </w:rPr>
      </w:pPr>
      <w:r>
        <w:rPr>
          <w:rFonts w:hint="eastAsia" w:ascii="黑体" w:hAnsi="黑体" w:eastAsia="黑体" w:cs="Arial"/>
          <w:kern w:val="0"/>
          <w:sz w:val="32"/>
          <w:szCs w:val="32"/>
        </w:rPr>
        <w:t>附件5</w:t>
      </w:r>
    </w:p>
    <w:p>
      <w:pPr>
        <w:pageBreakBefore w:val="0"/>
        <w:widowControl/>
        <w:kinsoku/>
        <w:wordWrap/>
        <w:overflowPunct/>
        <w:topLinePunct w:val="0"/>
        <w:bidi w:val="0"/>
        <w:snapToGrid/>
        <w:spacing w:line="600" w:lineRule="exact"/>
        <w:textAlignment w:val="auto"/>
        <w:rPr>
          <w:rFonts w:ascii="黑体" w:hAnsi="黑体" w:eastAsia="黑体" w:cs="Arial"/>
          <w:kern w:val="0"/>
          <w:sz w:val="32"/>
          <w:szCs w:val="32"/>
        </w:rPr>
      </w:pPr>
    </w:p>
    <w:p>
      <w:pPr>
        <w:pStyle w:val="16"/>
        <w:pageBreakBefore w:val="0"/>
        <w:shd w:val="clear" w:color="auto" w:fill="FFFFFF"/>
        <w:kinsoku/>
        <w:wordWrap/>
        <w:overflowPunct/>
        <w:topLinePunct w:val="0"/>
        <w:bidi w:val="0"/>
        <w:snapToGrid/>
        <w:spacing w:before="0" w:after="0" w:line="600" w:lineRule="exact"/>
        <w:ind w:firstLine="480"/>
        <w:jc w:val="center"/>
        <w:textAlignment w:val="auto"/>
        <w:rPr>
          <w:rStyle w:val="8"/>
          <w:rFonts w:ascii="方正小标宋简体" w:hAnsi="宋体" w:eastAsia="方正小标宋简体" w:cs="Helvetica"/>
          <w:b w:val="0"/>
          <w:color w:val="000000"/>
          <w:sz w:val="44"/>
          <w:szCs w:val="44"/>
        </w:rPr>
      </w:pPr>
      <w:r>
        <w:rPr>
          <w:rStyle w:val="8"/>
          <w:rFonts w:hint="eastAsia" w:ascii="方正小标宋简体" w:hAnsi="宋体" w:eastAsia="方正小标宋简体" w:cs="Helvetica"/>
          <w:b w:val="0"/>
          <w:color w:val="000000"/>
          <w:sz w:val="44"/>
          <w:szCs w:val="44"/>
        </w:rPr>
        <w:t>国家留学基金委资助出国留学外语合格条件</w:t>
      </w:r>
    </w:p>
    <w:p>
      <w:pPr>
        <w:pStyle w:val="16"/>
        <w:pageBreakBefore w:val="0"/>
        <w:shd w:val="clear" w:color="auto" w:fill="FFFFFF"/>
        <w:kinsoku/>
        <w:wordWrap/>
        <w:overflowPunct/>
        <w:topLinePunct w:val="0"/>
        <w:bidi w:val="0"/>
        <w:snapToGrid/>
        <w:spacing w:before="0" w:after="0" w:line="600" w:lineRule="exact"/>
        <w:ind w:firstLine="480"/>
        <w:jc w:val="center"/>
        <w:textAlignment w:val="auto"/>
        <w:rPr>
          <w:rStyle w:val="8"/>
          <w:rFonts w:ascii="方正小标宋简体" w:hAnsi="宋体" w:eastAsia="方正小标宋简体" w:cs="Helvetica"/>
          <w:b w:val="0"/>
          <w:color w:val="000000"/>
          <w:sz w:val="44"/>
          <w:szCs w:val="44"/>
        </w:rPr>
      </w:pPr>
    </w:p>
    <w:p>
      <w:pPr>
        <w:pStyle w:val="16"/>
        <w:pageBreakBefore w:val="0"/>
        <w:shd w:val="clear" w:color="auto" w:fill="FFFFFF"/>
        <w:kinsoku/>
        <w:wordWrap/>
        <w:overflowPunct/>
        <w:topLinePunct w:val="0"/>
        <w:bidi w:val="0"/>
        <w:snapToGrid/>
        <w:spacing w:before="0" w:after="0" w:line="600" w:lineRule="exact"/>
        <w:ind w:firstLine="627" w:firstLineChars="196"/>
        <w:textAlignment w:val="auto"/>
        <w:rPr>
          <w:rFonts w:ascii="仿宋" w:hAnsi="仿宋" w:eastAsia="仿宋" w:cs="Helvetica"/>
          <w:b/>
          <w:color w:val="000000"/>
          <w:sz w:val="32"/>
          <w:szCs w:val="32"/>
        </w:rPr>
      </w:pPr>
      <w:r>
        <w:rPr>
          <w:rStyle w:val="8"/>
          <w:rFonts w:hint="eastAsia" w:ascii="黑体" w:hAnsi="黑体" w:eastAsia="黑体" w:cs="Helvetica"/>
          <w:b w:val="0"/>
          <w:color w:val="000000"/>
          <w:sz w:val="32"/>
          <w:szCs w:val="32"/>
        </w:rPr>
        <w:t>一、</w:t>
      </w:r>
      <w:r>
        <w:rPr>
          <w:rStyle w:val="8"/>
          <w:rFonts w:ascii="黑体" w:hAnsi="黑体" w:eastAsia="黑体" w:cs="Helvetica"/>
          <w:b w:val="0"/>
          <w:color w:val="000000"/>
          <w:sz w:val="32"/>
          <w:szCs w:val="32"/>
        </w:rPr>
        <w:t>高级研究学者、访问学者及博士后类别申请人，外语水平需达到以下条件之一：</w:t>
      </w:r>
    </w:p>
    <w:p>
      <w:pPr>
        <w:pStyle w:val="16"/>
        <w:pageBreakBefore w:val="0"/>
        <w:shd w:val="clear" w:color="auto" w:fill="FFFFFF"/>
        <w:kinsoku/>
        <w:wordWrap/>
        <w:overflowPunct/>
        <w:topLinePunct w:val="0"/>
        <w:bidi w:val="0"/>
        <w:snapToGrid/>
        <w:spacing w:before="0" w:after="0" w:line="600" w:lineRule="exact"/>
        <w:ind w:firstLine="643" w:firstLineChars="200"/>
        <w:textAlignment w:val="auto"/>
        <w:rPr>
          <w:rStyle w:val="8"/>
          <w:rFonts w:hint="eastAsia" w:ascii="仿宋" w:hAnsi="仿宋" w:eastAsia="仿宋" w:cs="仿宋"/>
          <w:b w:val="0"/>
          <w:bCs/>
          <w:color w:val="000000"/>
          <w:sz w:val="28"/>
          <w:szCs w:val="28"/>
        </w:rPr>
      </w:pPr>
      <w:r>
        <w:rPr>
          <w:rStyle w:val="8"/>
          <w:rFonts w:hint="eastAsia" w:ascii="黑体" w:hAnsi="黑体" w:eastAsia="黑体" w:cs="Helvetica"/>
          <w:color w:val="000000"/>
          <w:sz w:val="32"/>
          <w:szCs w:val="32"/>
        </w:rPr>
        <w:t xml:space="preserve">  </w:t>
      </w:r>
      <w:r>
        <w:rPr>
          <w:rStyle w:val="8"/>
          <w:rFonts w:hint="eastAsia" w:ascii="仿宋" w:hAnsi="仿宋" w:eastAsia="仿宋" w:cs="仿宋"/>
          <w:b w:val="0"/>
          <w:bCs/>
          <w:color w:val="000000"/>
          <w:sz w:val="28"/>
          <w:szCs w:val="28"/>
        </w:rPr>
        <w:t xml:space="preserve"> 参加“全国外语水平考试(WSK)”并达到合格标准。各语种要求如下：</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  -英语（PETS5）：笔试总分55分（含）以上，其中听力部分18分（含）以上，口试总分3分（含）以上；</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  -德语(NTD)：笔试总分65分（含）以上；</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  -法语(TNF)：笔试总分60分（含）以上；</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  -日语（NNS）/俄语（ТЛРЯ）：笔试总分60分（含）以上，其中口试总分3分（含）以上。</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2.外语专业本科（含）以上毕业（专业语种应与留学目的国使用的语种一致）。</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3.近十年内曾在同一语种国家或地区连续留学8个月（含）以上，或连续工作12个月（含）以上，或曾以国家公派高级研究学者身份留学3个月（含）以上。</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4.曾在教育部指定出国留学人员培训部参加相应语种培训并获结业证书。各语种要求如下：</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  -英语：高级班结业证书；</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  -德语、法语、日语、俄语、西班牙语、意大利语：中级班结业证书。</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5.参加雅思、托福、德语、法语、西班牙语、意大利语、日语、韩语水平考试，成绩达到以下标准：</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  雅思（学术类）6.5分、托福网考95分；</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  德语、法语、西班牙语、意大利语达到欧洲统一语言参考框架（CECRL）B2级；</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  日语达到日本语能力测试（JLPT）三级（N3）；</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  韩语达到TOPIK3级。</w:t>
      </w:r>
    </w:p>
    <w:p>
      <w:pPr>
        <w:pStyle w:val="16"/>
        <w:pageBreakBefore w:val="0"/>
        <w:shd w:val="clear" w:color="auto" w:fill="FFFFFF"/>
        <w:kinsoku/>
        <w:wordWrap/>
        <w:overflowPunct/>
        <w:topLinePunct w:val="0"/>
        <w:bidi w:val="0"/>
        <w:snapToGrid/>
        <w:spacing w:before="0" w:after="0" w:line="600" w:lineRule="exact"/>
        <w:ind w:firstLine="560" w:firstLineChars="200"/>
        <w:textAlignment w:val="auto"/>
        <w:rPr>
          <w:rStyle w:val="8"/>
          <w:rFonts w:hint="eastAsia" w:ascii="仿宋" w:hAnsi="仿宋" w:eastAsia="仿宋" w:cs="仿宋"/>
          <w:b w:val="0"/>
          <w:bCs/>
          <w:color w:val="000000"/>
          <w:sz w:val="28"/>
          <w:szCs w:val="28"/>
        </w:rPr>
      </w:pPr>
      <w:r>
        <w:rPr>
          <w:rStyle w:val="8"/>
          <w:rFonts w:hint="eastAsia" w:ascii="仿宋" w:hAnsi="仿宋" w:eastAsia="仿宋" w:cs="仿宋"/>
          <w:b w:val="0"/>
          <w:bCs/>
          <w:color w:val="000000"/>
          <w:sz w:val="28"/>
          <w:szCs w:val="28"/>
        </w:rPr>
        <w:t>6.赴其他语种（除英语、德语、法语、日语、俄语、西班牙语、意大利语以外）国家留学者，通过国外拟留学单位组织的对该语种的面试或考试等方式达到其语言要求（应在外方邀请信中注明或单独出具证明）。</w:t>
      </w:r>
    </w:p>
    <w:p>
      <w:pPr>
        <w:pStyle w:val="16"/>
        <w:pageBreakBefore w:val="0"/>
        <w:shd w:val="clear" w:color="auto" w:fill="FFFFFF"/>
        <w:kinsoku/>
        <w:wordWrap/>
        <w:overflowPunct/>
        <w:topLinePunct w:val="0"/>
        <w:bidi w:val="0"/>
        <w:snapToGrid/>
        <w:spacing w:before="0" w:after="0" w:line="600" w:lineRule="exact"/>
        <w:ind w:firstLine="640" w:firstLineChars="200"/>
        <w:textAlignment w:val="auto"/>
        <w:rPr>
          <w:rStyle w:val="8"/>
          <w:rFonts w:ascii="黑体" w:hAnsi="黑体" w:eastAsia="黑体" w:cs="Helvetica"/>
          <w:b w:val="0"/>
          <w:color w:val="000000"/>
          <w:sz w:val="32"/>
          <w:szCs w:val="32"/>
        </w:rPr>
      </w:pPr>
      <w:r>
        <w:rPr>
          <w:rStyle w:val="8"/>
          <w:rFonts w:ascii="黑体" w:hAnsi="黑体" w:eastAsia="黑体" w:cs="Helvetica"/>
          <w:b w:val="0"/>
          <w:color w:val="000000"/>
          <w:sz w:val="32"/>
          <w:szCs w:val="32"/>
        </w:rPr>
        <w:t>二、关于外语合格条件的说明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1.上述外语合格条件系留学人员申请和派出的统一标准，申请时合格且外语成绩证明在有效期内，派出时即可视为外语合格。全国外语水平考试（WSK）、教育部出国留学人员培训部结业证书、雅思、托福、欧洲统一语言参考框架（CECRL）、韩语（TOPIK）、日语（JLPT）成绩有效期均为两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2.全国外语水平考试（WSK）的证明材料为全国外语水平考试(WSK)成绩通知单。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3.外语专业本科（含）以上毕业的证明材料为学历或学位证书。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4.曾在同一语种国家或地区留学或工作的证明材料为：我驻外使（领）馆出具的《留学回国人员证明》或曾留学单位及工作单位人事部门分别出具的在外学习或工作的证明。对曾留学国与拟留学国使用语言不一致的，须另行提供曾留学单位出具的工作语言为相应语种的证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5.德语、法语、西班牙语、意大利语达到欧洲统一语言参考框架（CECRL）B2级包括参加相应语种考试并取得等同于CECRL B2级的证书或成绩，如德语TestDaF12分以上，法语TEF541分以上、TCF400分以上、DELFB2，西班牙语TELEB2，意大利语CELI3、CILSDue B2、PLIDA B2等。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6.赴非英语国家外语合格条件的说明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r>
        <w:rPr>
          <w:rFonts w:hint="eastAsia" w:ascii="仿宋" w:hAnsi="仿宋" w:eastAsia="仿宋" w:cs="仿宋"/>
          <w:b w:val="0"/>
          <w:i w:val="0"/>
          <w:caps w:val="0"/>
          <w:color w:val="000000"/>
          <w:spacing w:val="0"/>
          <w:sz w:val="32"/>
          <w:szCs w:val="32"/>
          <w:shd w:val="clear" w:fill="FFFFFF"/>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rPr>
      </w:pPr>
    </w:p>
    <w:p>
      <w:pPr>
        <w:pageBreakBefore w:val="0"/>
        <w:kinsoku/>
        <w:wordWrap/>
        <w:overflowPunct/>
        <w:topLinePunct w:val="0"/>
        <w:bidi w:val="0"/>
        <w:snapToGrid/>
        <w:spacing w:line="600" w:lineRule="exact"/>
        <w:textAlignment w:val="auto"/>
        <w:rPr>
          <w:rFonts w:ascii="仿宋" w:hAnsi="仿宋" w:eastAsia="仿宋"/>
          <w:sz w:val="32"/>
          <w:szCs w:val="32"/>
        </w:rPr>
      </w:pPr>
    </w:p>
    <w:p>
      <w:pPr>
        <w:pageBreakBefore w:val="0"/>
        <w:kinsoku/>
        <w:wordWrap/>
        <w:overflowPunct/>
        <w:topLinePunct w:val="0"/>
        <w:bidi w:val="0"/>
        <w:snapToGrid/>
        <w:spacing w:line="600" w:lineRule="exact"/>
        <w:textAlignment w:val="auto"/>
        <w:rPr>
          <w:rFonts w:ascii="仿宋" w:hAnsi="仿宋" w:eastAsia="仿宋"/>
          <w:sz w:val="32"/>
          <w:szCs w:val="32"/>
        </w:rPr>
      </w:pPr>
    </w:p>
    <w:p>
      <w:pPr>
        <w:pageBreakBefore w:val="0"/>
        <w:kinsoku/>
        <w:wordWrap/>
        <w:overflowPunct/>
        <w:topLinePunct w:val="0"/>
        <w:bidi w:val="0"/>
        <w:snapToGrid/>
        <w:spacing w:line="600" w:lineRule="exact"/>
        <w:textAlignment w:val="auto"/>
        <w:rPr>
          <w:rFonts w:ascii="仿宋" w:hAnsi="仿宋" w:eastAsia="仿宋"/>
          <w:sz w:val="32"/>
          <w:szCs w:val="32"/>
        </w:rPr>
      </w:pPr>
    </w:p>
    <w:p>
      <w:pPr>
        <w:pageBreakBefore w:val="0"/>
        <w:kinsoku/>
        <w:wordWrap/>
        <w:overflowPunct/>
        <w:topLinePunct w:val="0"/>
        <w:bidi w:val="0"/>
        <w:snapToGrid/>
        <w:spacing w:line="600" w:lineRule="exact"/>
        <w:textAlignment w:val="auto"/>
        <w:rPr>
          <w:rFonts w:ascii="仿宋" w:hAnsi="仿宋" w:eastAsia="仿宋"/>
          <w:sz w:val="32"/>
          <w:szCs w:val="32"/>
        </w:rPr>
      </w:pPr>
    </w:p>
    <w:p>
      <w:pPr>
        <w:pageBreakBefore w:val="0"/>
        <w:kinsoku/>
        <w:wordWrap/>
        <w:overflowPunct/>
        <w:topLinePunct w:val="0"/>
        <w:bidi w:val="0"/>
        <w:snapToGrid/>
        <w:spacing w:line="600" w:lineRule="exact"/>
        <w:textAlignment w:val="auto"/>
        <w:rPr>
          <w:rFonts w:ascii="黑体" w:hAnsi="黑体" w:eastAsia="黑体"/>
          <w:sz w:val="32"/>
          <w:szCs w:val="32"/>
        </w:rPr>
      </w:pPr>
      <w:r>
        <w:rPr>
          <w:rFonts w:hint="eastAsia" w:ascii="黑体" w:hAnsi="黑体" w:eastAsia="黑体"/>
          <w:sz w:val="32"/>
          <w:szCs w:val="32"/>
        </w:rPr>
        <w:t>附件6</w:t>
      </w:r>
    </w:p>
    <w:tbl>
      <w:tblPr>
        <w:tblStyle w:val="11"/>
        <w:tblW w:w="7641" w:type="dxa"/>
        <w:jc w:val="center"/>
        <w:tblCellSpacing w:w="0" w:type="dxa"/>
        <w:tblInd w:w="0" w:type="dxa"/>
        <w:tblLayout w:type="fixed"/>
        <w:tblCellMar>
          <w:top w:w="0" w:type="dxa"/>
          <w:left w:w="0" w:type="dxa"/>
          <w:bottom w:w="0" w:type="dxa"/>
          <w:right w:w="0" w:type="dxa"/>
        </w:tblCellMar>
      </w:tblPr>
      <w:tblGrid>
        <w:gridCol w:w="7641"/>
      </w:tblGrid>
      <w:tr>
        <w:tblPrEx>
          <w:tblLayout w:type="fixed"/>
          <w:tblCellMar>
            <w:top w:w="0" w:type="dxa"/>
            <w:left w:w="0" w:type="dxa"/>
            <w:bottom w:w="0" w:type="dxa"/>
            <w:right w:w="0" w:type="dxa"/>
          </w:tblCellMar>
        </w:tblPrEx>
        <w:trPr>
          <w:tblCellSpacing w:w="0" w:type="dxa"/>
          <w:jc w:val="center"/>
        </w:trPr>
        <w:tc>
          <w:tcPr>
            <w:tcW w:w="7641" w:type="dxa"/>
            <w:vAlign w:val="center"/>
          </w:tcPr>
          <w:p>
            <w:pPr>
              <w:pageBreakBefore w:val="0"/>
              <w:widowControl/>
              <w:kinsoku/>
              <w:wordWrap/>
              <w:overflowPunct/>
              <w:topLinePunct w:val="0"/>
              <w:bidi w:val="0"/>
              <w:snapToGrid/>
              <w:spacing w:line="600" w:lineRule="exact"/>
              <w:jc w:val="center"/>
              <w:textAlignment w:val="auto"/>
              <w:rPr>
                <w:rFonts w:ascii="方正小标宋简体" w:eastAsia="方正小标宋简体" w:cs="Arial"/>
                <w:kern w:val="0"/>
                <w:sz w:val="36"/>
                <w:szCs w:val="36"/>
              </w:rPr>
            </w:pPr>
            <w:r>
              <w:rPr>
                <w:rFonts w:hint="eastAsia" w:ascii="方正小标宋简体" w:hAnsi="宋体" w:eastAsia="方正小标宋简体" w:cs="Arial"/>
                <w:kern w:val="0"/>
                <w:sz w:val="36"/>
                <w:szCs w:val="36"/>
              </w:rPr>
              <w:t>201</w:t>
            </w:r>
            <w:r>
              <w:rPr>
                <w:rFonts w:hint="eastAsia" w:ascii="方正小标宋简体" w:hAnsi="宋体" w:eastAsia="方正小标宋简体" w:cs="Arial"/>
                <w:kern w:val="0"/>
                <w:sz w:val="36"/>
                <w:szCs w:val="36"/>
                <w:lang w:val="en-US" w:eastAsia="zh-CN"/>
              </w:rPr>
              <w:t>8</w:t>
            </w:r>
            <w:r>
              <w:rPr>
                <w:rFonts w:hint="eastAsia" w:ascii="方正小标宋简体" w:hAnsi="宋体" w:eastAsia="方正小标宋简体" w:cs="Arial"/>
                <w:kern w:val="0"/>
                <w:sz w:val="36"/>
                <w:szCs w:val="36"/>
              </w:rPr>
              <w:t>年国家公派出国留学申报指南（申请人）</w:t>
            </w:r>
          </w:p>
        </w:tc>
      </w:tr>
      <w:tr>
        <w:tblPrEx>
          <w:tblLayout w:type="fixed"/>
          <w:tblCellMar>
            <w:top w:w="0" w:type="dxa"/>
            <w:left w:w="0" w:type="dxa"/>
            <w:bottom w:w="0" w:type="dxa"/>
            <w:right w:w="0" w:type="dxa"/>
          </w:tblCellMar>
        </w:tblPrEx>
        <w:trPr>
          <w:tblCellSpacing w:w="0" w:type="dxa"/>
          <w:jc w:val="center"/>
        </w:trPr>
        <w:tc>
          <w:tcPr>
            <w:tcW w:w="7641" w:type="dxa"/>
            <w:vAlign w:val="center"/>
          </w:tcPr>
          <w:p>
            <w:pPr>
              <w:pageBreakBefore w:val="0"/>
              <w:widowControl/>
              <w:kinsoku/>
              <w:wordWrap/>
              <w:overflowPunct/>
              <w:topLinePunct w:val="0"/>
              <w:bidi w:val="0"/>
              <w:snapToGrid/>
              <w:spacing w:line="600" w:lineRule="exact"/>
              <w:jc w:val="center"/>
              <w:textAlignment w:val="auto"/>
              <w:rPr>
                <w:rFonts w:ascii="方正小标宋简体" w:hAnsi="宋体" w:eastAsia="方正小标宋简体" w:cs="Arial"/>
                <w:kern w:val="0"/>
                <w:sz w:val="36"/>
                <w:szCs w:val="36"/>
              </w:rPr>
            </w:pPr>
          </w:p>
        </w:tc>
      </w:tr>
    </w:tbl>
    <w:p>
      <w:pPr>
        <w:pageBreakBefore w:val="0"/>
        <w:kinsoku/>
        <w:wordWrap/>
        <w:overflowPunct/>
        <w:topLinePunct w:val="0"/>
        <w:bidi w:val="0"/>
        <w:snapToGrid/>
        <w:spacing w:line="600" w:lineRule="exact"/>
        <w:textAlignment w:val="auto"/>
        <w:rPr>
          <w:vanish/>
          <w:sz w:val="24"/>
        </w:rPr>
      </w:pPr>
    </w:p>
    <w:tbl>
      <w:tblPr>
        <w:tblStyle w:val="11"/>
        <w:tblW w:w="7641" w:type="dxa"/>
        <w:jc w:val="center"/>
        <w:tblCellSpacing w:w="0" w:type="dxa"/>
        <w:tblInd w:w="0" w:type="dxa"/>
        <w:tblLayout w:type="fixed"/>
        <w:tblCellMar>
          <w:top w:w="0" w:type="dxa"/>
          <w:left w:w="0" w:type="dxa"/>
          <w:bottom w:w="0" w:type="dxa"/>
          <w:right w:w="0" w:type="dxa"/>
        </w:tblCellMar>
      </w:tblPr>
      <w:tblGrid>
        <w:gridCol w:w="7641"/>
      </w:tblGrid>
      <w:tr>
        <w:tblPrEx>
          <w:tblLayout w:type="fixed"/>
          <w:tblCellMar>
            <w:top w:w="0" w:type="dxa"/>
            <w:left w:w="0" w:type="dxa"/>
            <w:bottom w:w="0" w:type="dxa"/>
            <w:right w:w="0" w:type="dxa"/>
          </w:tblCellMar>
        </w:tblPrEx>
        <w:trPr>
          <w:tblCellSpacing w:w="0" w:type="dxa"/>
          <w:jc w:val="center"/>
        </w:trPr>
        <w:tc>
          <w:tcPr>
            <w:tcW w:w="7641" w:type="dxa"/>
          </w:tcPr>
          <w:tbl>
            <w:tblPr>
              <w:tblStyle w:val="11"/>
              <w:tblW w:w="7626"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7626" w:type="dxa"/>
                  <w:tcBorders>
                    <w:top w:val="single" w:color="auto" w:sz="4" w:space="0"/>
                    <w:left w:val="single" w:color="auto" w:sz="4" w:space="0"/>
                    <w:bottom w:val="single" w:color="auto" w:sz="4" w:space="0"/>
                    <w:right w:val="single" w:color="auto" w:sz="4" w:space="0"/>
                  </w:tcBorders>
                </w:tcPr>
                <w:p>
                  <w:pPr>
                    <w:pStyle w:val="16"/>
                    <w:pageBreakBefore w:val="0"/>
                    <w:widowControl/>
                    <w:kinsoku/>
                    <w:wordWrap/>
                    <w:overflowPunct/>
                    <w:topLinePunct w:val="0"/>
                    <w:bidi w:val="0"/>
                    <w:snapToGrid/>
                    <w:spacing w:before="0" w:after="0" w:line="600" w:lineRule="exact"/>
                    <w:textAlignment w:val="auto"/>
                  </w:pPr>
                  <w:r>
                    <w:rPr>
                      <w:rFonts w:hint="eastAsia" w:ascii="Arial" w:hAnsi="Arial" w:cs="Arial"/>
                      <w:b/>
                      <w:sz w:val="18"/>
                      <w:szCs w:val="18"/>
                    </w:rPr>
                    <w:t>步骤</w:t>
                  </w:r>
                  <w:r>
                    <w:rPr>
                      <w:rFonts w:ascii="Arial" w:hAnsi="Arial" w:cs="Arial"/>
                      <w:b/>
                      <w:sz w:val="18"/>
                      <w:szCs w:val="18"/>
                    </w:rPr>
                    <w:t>1</w:t>
                  </w:r>
                  <w:r>
                    <w:rPr>
                      <w:rFonts w:hint="eastAsia" w:ascii="Arial" w:hAnsi="Arial" w:cs="Arial"/>
                      <w:b/>
                      <w:sz w:val="18"/>
                      <w:szCs w:val="18"/>
                    </w:rPr>
                    <w:t>：查阅</w:t>
                  </w:r>
                  <w:r>
                    <w:fldChar w:fldCharType="begin"/>
                  </w:r>
                  <w:r>
                    <w:instrText xml:space="preserve"> HYPERLINK "http://www.csc.edu.cn/Chuguo/fc8d228ee3ec4374ae66c004ccb16e1f.shtml" </w:instrText>
                  </w:r>
                  <w:r>
                    <w:fldChar w:fldCharType="separate"/>
                  </w:r>
                  <w:r>
                    <w:rPr>
                      <w:rStyle w:val="10"/>
                      <w:b/>
                      <w:color w:val="auto"/>
                      <w:sz w:val="18"/>
                      <w:szCs w:val="18"/>
                    </w:rPr>
                    <w:t>201</w:t>
                  </w:r>
                  <w:r>
                    <w:rPr>
                      <w:rStyle w:val="10"/>
                      <w:rFonts w:hint="eastAsia"/>
                      <w:b/>
                      <w:color w:val="auto"/>
                      <w:sz w:val="18"/>
                      <w:szCs w:val="18"/>
                      <w:lang w:val="en-US" w:eastAsia="zh-CN"/>
                    </w:rPr>
                    <w:t>8</w:t>
                  </w:r>
                  <w:r>
                    <w:rPr>
                      <w:rStyle w:val="10"/>
                      <w:rFonts w:hint="eastAsia"/>
                      <w:b/>
                      <w:color w:val="auto"/>
                      <w:sz w:val="18"/>
                      <w:szCs w:val="18"/>
                    </w:rPr>
                    <w:t>年国家留学基金资助出国留学选拔简章</w:t>
                  </w:r>
                  <w:r>
                    <w:rPr>
                      <w:rStyle w:val="10"/>
                      <w:rFonts w:hint="eastAsia"/>
                      <w:b/>
                      <w:color w:val="auto"/>
                      <w:sz w:val="18"/>
                      <w:szCs w:val="18"/>
                    </w:rPr>
                    <w:fldChar w:fldCharType="end"/>
                  </w:r>
                  <w:r>
                    <w:rPr>
                      <w:rFonts w:hint="eastAsia" w:ascii="Arial" w:hAnsi="Arial" w:cs="Arial"/>
                      <w:b/>
                      <w:sz w:val="18"/>
                      <w:szCs w:val="18"/>
                    </w:rPr>
                    <w:t>，了解选派计划、选派类别、基本申报条件和申请时间等相关信息</w:t>
                  </w:r>
                </w:p>
              </w:tc>
            </w:tr>
          </w:tbl>
          <w:p>
            <w:pPr>
              <w:pStyle w:val="16"/>
              <w:pageBreakBefore w:val="0"/>
              <w:widowControl/>
              <w:kinsoku/>
              <w:wordWrap/>
              <w:overflowPunct/>
              <w:topLinePunct w:val="0"/>
              <w:bidi w:val="0"/>
              <w:snapToGrid/>
              <w:spacing w:before="0" w:after="0" w:line="600" w:lineRule="exact"/>
              <w:jc w:val="center"/>
              <w:textAlignment w:val="auto"/>
            </w:pPr>
            <w:r>
              <w:rPr>
                <w:rFonts w:ascii="Arial" w:hAnsi="Arial" w:cs="Arial"/>
                <w:b/>
                <w:sz w:val="21"/>
                <w:szCs w:val="21"/>
              </w:rPr>
              <w:t>↓</w:t>
            </w:r>
          </w:p>
          <w:tbl>
            <w:tblPr>
              <w:tblStyle w:val="11"/>
              <w:tblW w:w="7626"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7626" w:type="dxa"/>
                  <w:tcBorders>
                    <w:top w:val="single" w:color="auto" w:sz="4" w:space="0"/>
                    <w:left w:val="single" w:color="auto" w:sz="4" w:space="0"/>
                    <w:bottom w:val="single" w:color="auto" w:sz="4" w:space="0"/>
                    <w:right w:val="single" w:color="auto" w:sz="4" w:space="0"/>
                  </w:tcBorders>
                </w:tcPr>
                <w:p>
                  <w:pPr>
                    <w:pStyle w:val="16"/>
                    <w:pageBreakBefore w:val="0"/>
                    <w:widowControl/>
                    <w:kinsoku/>
                    <w:wordWrap/>
                    <w:overflowPunct/>
                    <w:topLinePunct w:val="0"/>
                    <w:bidi w:val="0"/>
                    <w:snapToGrid/>
                    <w:spacing w:before="0" w:after="0" w:line="600" w:lineRule="exact"/>
                    <w:textAlignment w:val="auto"/>
                  </w:pPr>
                  <w:r>
                    <w:rPr>
                      <w:rFonts w:hint="eastAsia" w:ascii="Arial" w:hAnsi="Arial" w:cs="Arial"/>
                      <w:b/>
                      <w:sz w:val="18"/>
                      <w:szCs w:val="18"/>
                    </w:rPr>
                    <w:t>步骤</w:t>
                  </w:r>
                  <w:r>
                    <w:rPr>
                      <w:rFonts w:ascii="Arial" w:hAnsi="Arial" w:cs="Arial"/>
                      <w:b/>
                      <w:sz w:val="18"/>
                      <w:szCs w:val="18"/>
                    </w:rPr>
                    <w:t>2</w:t>
                  </w:r>
                  <w:r>
                    <w:rPr>
                      <w:rFonts w:hint="eastAsia" w:ascii="Arial" w:hAnsi="Arial" w:cs="Arial"/>
                      <w:b/>
                      <w:sz w:val="18"/>
                      <w:szCs w:val="18"/>
                    </w:rPr>
                    <w:t>：按留学身份、拟留学国别</w:t>
                  </w:r>
                  <w:r>
                    <w:fldChar w:fldCharType="begin"/>
                  </w:r>
                  <w:r>
                    <w:instrText xml:space="preserve"> HYPERLINK "http://www.csc.edu.cn/require/" </w:instrText>
                  </w:r>
                  <w:r>
                    <w:fldChar w:fldCharType="separate"/>
                  </w:r>
                  <w:r>
                    <w:rPr>
                      <w:rStyle w:val="10"/>
                      <w:rFonts w:hint="eastAsia"/>
                      <w:b/>
                      <w:color w:val="auto"/>
                      <w:sz w:val="18"/>
                      <w:szCs w:val="18"/>
                    </w:rPr>
                    <w:t>查询可申报项目</w:t>
                  </w:r>
                  <w:r>
                    <w:rPr>
                      <w:rStyle w:val="10"/>
                      <w:rFonts w:hint="eastAsia"/>
                      <w:b/>
                      <w:color w:val="auto"/>
                      <w:sz w:val="18"/>
                      <w:szCs w:val="18"/>
                    </w:rPr>
                    <w:fldChar w:fldCharType="end"/>
                  </w:r>
                  <w:r>
                    <w:rPr>
                      <w:rFonts w:hint="eastAsia" w:ascii="Arial" w:hAnsi="Arial" w:cs="Arial"/>
                      <w:b/>
                      <w:sz w:val="18"/>
                      <w:szCs w:val="18"/>
                    </w:rPr>
                    <w:t>，了解具体选派办法，确定拟申请留学项目及具体派出渠道</w:t>
                  </w:r>
                </w:p>
              </w:tc>
            </w:tr>
          </w:tbl>
          <w:p>
            <w:pPr>
              <w:pStyle w:val="16"/>
              <w:pageBreakBefore w:val="0"/>
              <w:widowControl/>
              <w:kinsoku/>
              <w:wordWrap/>
              <w:overflowPunct/>
              <w:topLinePunct w:val="0"/>
              <w:bidi w:val="0"/>
              <w:snapToGrid/>
              <w:spacing w:before="0" w:after="0" w:line="600" w:lineRule="exact"/>
              <w:jc w:val="center"/>
              <w:textAlignment w:val="auto"/>
            </w:pPr>
            <w:r>
              <w:rPr>
                <w:rFonts w:ascii="Arial" w:hAnsi="Arial" w:cs="Arial"/>
                <w:b/>
                <w:sz w:val="21"/>
                <w:szCs w:val="21"/>
              </w:rPr>
              <w:t>↓</w:t>
            </w:r>
          </w:p>
          <w:tbl>
            <w:tblPr>
              <w:tblStyle w:val="11"/>
              <w:tblW w:w="7626"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7626" w:type="dxa"/>
                  <w:tcBorders>
                    <w:top w:val="single" w:color="auto" w:sz="4" w:space="0"/>
                    <w:left w:val="single" w:color="auto" w:sz="4" w:space="0"/>
                    <w:bottom w:val="single" w:color="auto" w:sz="4" w:space="0"/>
                    <w:right w:val="single" w:color="auto" w:sz="4" w:space="0"/>
                  </w:tcBorders>
                </w:tcPr>
                <w:p>
                  <w:pPr>
                    <w:pStyle w:val="16"/>
                    <w:pageBreakBefore w:val="0"/>
                    <w:widowControl/>
                    <w:kinsoku/>
                    <w:wordWrap/>
                    <w:overflowPunct/>
                    <w:topLinePunct w:val="0"/>
                    <w:bidi w:val="0"/>
                    <w:snapToGrid/>
                    <w:spacing w:before="0" w:after="0" w:line="600" w:lineRule="exact"/>
                    <w:textAlignment w:val="auto"/>
                  </w:pPr>
                  <w:r>
                    <w:rPr>
                      <w:rFonts w:hint="eastAsia" w:ascii="Arial" w:hAnsi="Arial" w:cs="Arial"/>
                      <w:b/>
                      <w:sz w:val="18"/>
                      <w:szCs w:val="18"/>
                    </w:rPr>
                    <w:t>步骤</w:t>
                  </w:r>
                  <w:r>
                    <w:rPr>
                      <w:rFonts w:ascii="Arial" w:hAnsi="Arial" w:cs="Arial"/>
                      <w:b/>
                      <w:sz w:val="18"/>
                      <w:szCs w:val="18"/>
                    </w:rPr>
                    <w:t>3</w:t>
                  </w:r>
                  <w:r>
                    <w:rPr>
                      <w:rFonts w:hint="eastAsia" w:ascii="Arial" w:hAnsi="Arial" w:cs="Arial"/>
                      <w:b/>
                      <w:sz w:val="18"/>
                      <w:szCs w:val="18"/>
                    </w:rPr>
                    <w:t>：按拟申请项目及派出渠道要求做好前期申请准备工作</w:t>
                  </w:r>
                </w:p>
              </w:tc>
            </w:tr>
          </w:tbl>
          <w:p>
            <w:pPr>
              <w:pStyle w:val="16"/>
              <w:pageBreakBefore w:val="0"/>
              <w:widowControl/>
              <w:kinsoku/>
              <w:wordWrap/>
              <w:overflowPunct/>
              <w:topLinePunct w:val="0"/>
              <w:bidi w:val="0"/>
              <w:snapToGrid/>
              <w:spacing w:before="0" w:after="0" w:line="600" w:lineRule="exact"/>
              <w:jc w:val="center"/>
              <w:textAlignment w:val="auto"/>
            </w:pPr>
            <w:r>
              <w:rPr>
                <w:rFonts w:ascii="Arial" w:hAnsi="Arial" w:cs="Arial"/>
                <w:b/>
                <w:sz w:val="21"/>
                <w:szCs w:val="21"/>
              </w:rPr>
              <w:t>↓</w:t>
            </w:r>
          </w:p>
          <w:tbl>
            <w:tblPr>
              <w:tblStyle w:val="11"/>
              <w:tblW w:w="7626"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7626" w:type="dxa"/>
                  <w:tcBorders>
                    <w:top w:val="single" w:color="auto" w:sz="4" w:space="0"/>
                    <w:left w:val="single" w:color="auto" w:sz="4" w:space="0"/>
                    <w:bottom w:val="single" w:color="auto" w:sz="4" w:space="0"/>
                    <w:right w:val="single" w:color="auto" w:sz="4" w:space="0"/>
                  </w:tcBorders>
                </w:tcPr>
                <w:p>
                  <w:pPr>
                    <w:pStyle w:val="16"/>
                    <w:pageBreakBefore w:val="0"/>
                    <w:widowControl/>
                    <w:kinsoku/>
                    <w:wordWrap/>
                    <w:overflowPunct/>
                    <w:topLinePunct w:val="0"/>
                    <w:bidi w:val="0"/>
                    <w:snapToGrid/>
                    <w:spacing w:before="0" w:after="0" w:line="600" w:lineRule="exact"/>
                    <w:textAlignment w:val="auto"/>
                  </w:pPr>
                  <w:r>
                    <w:rPr>
                      <w:rFonts w:hint="eastAsia" w:ascii="Arial" w:hAnsi="Arial" w:cs="Arial"/>
                      <w:b/>
                      <w:sz w:val="18"/>
                      <w:szCs w:val="18"/>
                    </w:rPr>
                    <w:t>步骤</w:t>
                  </w:r>
                  <w:r>
                    <w:rPr>
                      <w:rFonts w:ascii="Arial" w:hAnsi="Arial" w:cs="Arial"/>
                      <w:b/>
                      <w:sz w:val="18"/>
                      <w:szCs w:val="18"/>
                    </w:rPr>
                    <w:t>4</w:t>
                  </w:r>
                  <w:r>
                    <w:rPr>
                      <w:rFonts w:hint="eastAsia" w:ascii="Arial" w:hAnsi="Arial" w:cs="Arial"/>
                      <w:b/>
                      <w:sz w:val="18"/>
                      <w:szCs w:val="18"/>
                    </w:rPr>
                    <w:t>：经所在单位同意后，按所申请项目及渠道确定的申请时间登录</w:t>
                  </w:r>
                  <w:r>
                    <w:fldChar w:fldCharType="begin"/>
                  </w:r>
                  <w:r>
                    <w:instrText xml:space="preserve"> HYPERLINK "http://apply.csc.edu.cn/" \t "http://www.csc.edu.cn/Chuguo/_blank" </w:instrText>
                  </w:r>
                  <w:r>
                    <w:fldChar w:fldCharType="separate"/>
                  </w:r>
                  <w:r>
                    <w:rPr>
                      <w:rStyle w:val="10"/>
                      <w:rFonts w:hint="eastAsia"/>
                      <w:b/>
                      <w:color w:val="auto"/>
                      <w:sz w:val="18"/>
                      <w:szCs w:val="18"/>
                    </w:rPr>
                    <w:t>信息平台</w:t>
                  </w:r>
                  <w:r>
                    <w:rPr>
                      <w:rStyle w:val="10"/>
                      <w:rFonts w:hint="eastAsia"/>
                      <w:b/>
                      <w:color w:val="auto"/>
                      <w:sz w:val="18"/>
                      <w:szCs w:val="18"/>
                    </w:rPr>
                    <w:fldChar w:fldCharType="end"/>
                  </w:r>
                  <w:r>
                    <w:rPr>
                      <w:rFonts w:hint="eastAsia" w:ascii="Arial" w:hAnsi="Arial" w:cs="Arial"/>
                      <w:b/>
                      <w:sz w:val="18"/>
                      <w:szCs w:val="18"/>
                    </w:rPr>
                    <w:t>进行网上报名（详见</w:t>
                  </w:r>
                  <w:r>
                    <w:rPr>
                      <w:rFonts w:ascii="Arial" w:hAnsi="Arial" w:cs="Arial"/>
                      <w:b/>
                      <w:sz w:val="18"/>
                      <w:szCs w:val="18"/>
                    </w:rPr>
                    <w:t>“</w:t>
                  </w:r>
                  <w:r>
                    <w:fldChar w:fldCharType="begin"/>
                  </w:r>
                  <w:r>
                    <w:instrText xml:space="preserve"> HYPERLINK "http://www.csc.edu.cn/Chuguo/32b3bb21a4f54ed5b0748d2f739bcdb2.shtml" </w:instrText>
                  </w:r>
                  <w:r>
                    <w:fldChar w:fldCharType="separate"/>
                  </w:r>
                  <w:r>
                    <w:rPr>
                      <w:rStyle w:val="10"/>
                      <w:rFonts w:hint="eastAsia"/>
                      <w:b/>
                      <w:color w:val="auto"/>
                      <w:sz w:val="18"/>
                      <w:szCs w:val="18"/>
                    </w:rPr>
                    <w:t>国家留学基金管理委员会网上报名系统填表说明</w:t>
                  </w:r>
                  <w:r>
                    <w:rPr>
                      <w:rStyle w:val="10"/>
                      <w:rFonts w:hint="eastAsia"/>
                      <w:b/>
                      <w:color w:val="auto"/>
                      <w:sz w:val="18"/>
                      <w:szCs w:val="18"/>
                    </w:rPr>
                    <w:fldChar w:fldCharType="end"/>
                  </w:r>
                  <w:r>
                    <w:rPr>
                      <w:rFonts w:ascii="Arial" w:hAnsi="Arial" w:cs="Arial"/>
                      <w:b/>
                      <w:sz w:val="18"/>
                      <w:szCs w:val="18"/>
                    </w:rPr>
                    <w:t>”</w:t>
                  </w:r>
                  <w:r>
                    <w:rPr>
                      <w:rFonts w:hint="eastAsia" w:ascii="Arial" w:hAnsi="Arial" w:cs="Arial"/>
                      <w:b/>
                      <w:sz w:val="18"/>
                      <w:szCs w:val="18"/>
                    </w:rPr>
                    <w:t>）</w:t>
                  </w:r>
                </w:p>
              </w:tc>
            </w:tr>
          </w:tbl>
          <w:p>
            <w:pPr>
              <w:pStyle w:val="16"/>
              <w:pageBreakBefore w:val="0"/>
              <w:widowControl/>
              <w:kinsoku/>
              <w:wordWrap/>
              <w:overflowPunct/>
              <w:topLinePunct w:val="0"/>
              <w:bidi w:val="0"/>
              <w:snapToGrid/>
              <w:spacing w:before="0" w:after="0" w:line="600" w:lineRule="exact"/>
              <w:jc w:val="center"/>
              <w:textAlignment w:val="auto"/>
            </w:pPr>
            <w:r>
              <w:rPr>
                <w:rFonts w:ascii="Arial" w:hAnsi="Arial" w:cs="Arial"/>
                <w:b/>
                <w:sz w:val="21"/>
                <w:szCs w:val="21"/>
              </w:rPr>
              <w:t>↓</w:t>
            </w:r>
          </w:p>
          <w:tbl>
            <w:tblPr>
              <w:tblStyle w:val="11"/>
              <w:tblW w:w="7626"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7626" w:type="dxa"/>
                  <w:tcBorders>
                    <w:top w:val="single" w:color="auto" w:sz="4" w:space="0"/>
                    <w:left w:val="single" w:color="auto" w:sz="4" w:space="0"/>
                    <w:bottom w:val="single" w:color="auto" w:sz="4" w:space="0"/>
                    <w:right w:val="single" w:color="auto" w:sz="4" w:space="0"/>
                  </w:tcBorders>
                </w:tcPr>
                <w:p>
                  <w:pPr>
                    <w:pStyle w:val="16"/>
                    <w:pageBreakBefore w:val="0"/>
                    <w:widowControl/>
                    <w:kinsoku/>
                    <w:wordWrap/>
                    <w:overflowPunct/>
                    <w:topLinePunct w:val="0"/>
                    <w:bidi w:val="0"/>
                    <w:snapToGrid/>
                    <w:spacing w:before="0" w:after="0" w:line="600" w:lineRule="exact"/>
                    <w:textAlignment w:val="auto"/>
                  </w:pPr>
                  <w:r>
                    <w:rPr>
                      <w:rFonts w:hint="eastAsia" w:ascii="Arial" w:hAnsi="Arial" w:cs="Arial"/>
                      <w:b/>
                      <w:sz w:val="18"/>
                      <w:szCs w:val="18"/>
                    </w:rPr>
                    <w:t>步骤</w:t>
                  </w:r>
                  <w:r>
                    <w:rPr>
                      <w:rFonts w:ascii="Arial" w:hAnsi="Arial" w:cs="Arial"/>
                      <w:b/>
                      <w:sz w:val="18"/>
                      <w:szCs w:val="18"/>
                    </w:rPr>
                    <w:t>5</w:t>
                  </w:r>
                  <w:r>
                    <w:rPr>
                      <w:rFonts w:hint="eastAsia" w:ascii="Arial" w:hAnsi="Arial" w:cs="Arial"/>
                      <w:b/>
                      <w:sz w:val="18"/>
                      <w:szCs w:val="18"/>
                    </w:rPr>
                    <w:t>：准备书面申请材料（请查阅有关项目专栏内）</w:t>
                  </w:r>
                </w:p>
              </w:tc>
            </w:tr>
          </w:tbl>
          <w:p>
            <w:pPr>
              <w:pStyle w:val="16"/>
              <w:pageBreakBefore w:val="0"/>
              <w:widowControl/>
              <w:kinsoku/>
              <w:wordWrap/>
              <w:overflowPunct/>
              <w:topLinePunct w:val="0"/>
              <w:bidi w:val="0"/>
              <w:snapToGrid/>
              <w:spacing w:before="0" w:after="0" w:line="600" w:lineRule="exact"/>
              <w:jc w:val="center"/>
              <w:textAlignment w:val="auto"/>
            </w:pPr>
            <w:r>
              <w:rPr>
                <w:rFonts w:ascii="Arial" w:hAnsi="Arial" w:cs="Arial"/>
                <w:b/>
                <w:sz w:val="21"/>
                <w:szCs w:val="21"/>
              </w:rPr>
              <w:t>↓</w:t>
            </w:r>
          </w:p>
          <w:tbl>
            <w:tblPr>
              <w:tblStyle w:val="11"/>
              <w:tblW w:w="7626"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trPr>
              <w:tc>
                <w:tcPr>
                  <w:tcW w:w="7626" w:type="dxa"/>
                  <w:tcBorders>
                    <w:top w:val="single" w:color="auto" w:sz="4" w:space="0"/>
                    <w:left w:val="single" w:color="auto" w:sz="4" w:space="0"/>
                    <w:bottom w:val="single" w:color="auto" w:sz="4" w:space="0"/>
                    <w:right w:val="single" w:color="auto" w:sz="4" w:space="0"/>
                  </w:tcBorders>
                </w:tcPr>
                <w:p>
                  <w:pPr>
                    <w:pStyle w:val="16"/>
                    <w:pageBreakBefore w:val="0"/>
                    <w:widowControl/>
                    <w:kinsoku/>
                    <w:wordWrap/>
                    <w:overflowPunct/>
                    <w:topLinePunct w:val="0"/>
                    <w:bidi w:val="0"/>
                    <w:snapToGrid/>
                    <w:spacing w:before="0" w:after="0" w:line="600" w:lineRule="exact"/>
                    <w:textAlignment w:val="auto"/>
                  </w:pPr>
                  <w:r>
                    <w:rPr>
                      <w:rFonts w:hint="eastAsia" w:ascii="Arial" w:hAnsi="Arial" w:cs="Arial"/>
                      <w:b/>
                      <w:sz w:val="18"/>
                      <w:szCs w:val="18"/>
                    </w:rPr>
                    <w:t>步骤</w:t>
                  </w:r>
                  <w:r>
                    <w:rPr>
                      <w:rFonts w:ascii="Arial" w:hAnsi="Arial" w:cs="Arial"/>
                      <w:b/>
                      <w:sz w:val="18"/>
                      <w:szCs w:val="18"/>
                    </w:rPr>
                    <w:t>6</w:t>
                  </w:r>
                  <w:r>
                    <w:rPr>
                      <w:rFonts w:hint="eastAsia" w:ascii="Arial" w:hAnsi="Arial" w:cs="Arial"/>
                      <w:b/>
                      <w:sz w:val="18"/>
                      <w:szCs w:val="18"/>
                    </w:rPr>
                    <w:t>：向受理单位提交申请材料：</w:t>
                  </w:r>
                </w:p>
                <w:p>
                  <w:pPr>
                    <w:pStyle w:val="16"/>
                    <w:pageBreakBefore w:val="0"/>
                    <w:widowControl/>
                    <w:kinsoku/>
                    <w:wordWrap/>
                    <w:overflowPunct/>
                    <w:topLinePunct w:val="0"/>
                    <w:bidi w:val="0"/>
                    <w:snapToGrid/>
                    <w:spacing w:before="0" w:after="0" w:line="600" w:lineRule="exact"/>
                    <w:textAlignment w:val="auto"/>
                  </w:pPr>
                  <w:r>
                    <w:rPr>
                      <w:rFonts w:ascii="Arial" w:hAnsi="Arial" w:cs="Arial"/>
                      <w:b/>
                      <w:sz w:val="18"/>
                      <w:szCs w:val="18"/>
                    </w:rPr>
                    <w:t> “211</w:t>
                  </w:r>
                  <w:r>
                    <w:rPr>
                      <w:rFonts w:hint="eastAsia" w:ascii="Arial" w:hAnsi="Arial" w:cs="Arial"/>
                      <w:b/>
                      <w:sz w:val="18"/>
                      <w:szCs w:val="18"/>
                    </w:rPr>
                    <w:t>工程</w:t>
                  </w:r>
                  <w:r>
                    <w:rPr>
                      <w:rFonts w:ascii="Arial" w:hAnsi="Arial" w:cs="Arial"/>
                      <w:b/>
                      <w:sz w:val="18"/>
                      <w:szCs w:val="18"/>
                    </w:rPr>
                    <w:t>”</w:t>
                  </w:r>
                  <w:r>
                    <w:rPr>
                      <w:rFonts w:hint="eastAsia" w:ascii="Arial" w:hAnsi="Arial" w:cs="Arial"/>
                      <w:b/>
                      <w:sz w:val="18"/>
                      <w:szCs w:val="18"/>
                    </w:rPr>
                    <w:t>建设高校人员的申请由所在学校主管部门负责受理；</w:t>
                  </w:r>
                </w:p>
                <w:p>
                  <w:pPr>
                    <w:pStyle w:val="16"/>
                    <w:pageBreakBefore w:val="0"/>
                    <w:widowControl/>
                    <w:kinsoku/>
                    <w:wordWrap/>
                    <w:overflowPunct/>
                    <w:topLinePunct w:val="0"/>
                    <w:bidi w:val="0"/>
                    <w:snapToGrid/>
                    <w:spacing w:before="0" w:after="0" w:line="600" w:lineRule="exact"/>
                    <w:textAlignment w:val="auto"/>
                  </w:pPr>
                  <w:r>
                    <w:rPr>
                      <w:rFonts w:ascii="Arial" w:hAnsi="Arial" w:cs="Arial"/>
                      <w:b/>
                      <w:sz w:val="18"/>
                      <w:szCs w:val="18"/>
                    </w:rPr>
                    <w:t> </w:t>
                  </w:r>
                  <w:r>
                    <w:rPr>
                      <w:rFonts w:hint="eastAsia" w:ascii="Arial" w:hAnsi="Arial" w:cs="Arial"/>
                      <w:b/>
                      <w:sz w:val="18"/>
                      <w:szCs w:val="18"/>
                    </w:rPr>
                    <w:t>在外留学人员的申请委托现就读院校或科研机构所在国我驻外使（领）馆教育处（组）负责受理；其他人员的申请由有关国家留学基金</w:t>
                  </w:r>
                  <w:r>
                    <w:fldChar w:fldCharType="begin"/>
                  </w:r>
                  <w:r>
                    <w:instrText xml:space="preserve"> HYPERLINK "http://www.csc.edu.cn/Chuguo/2255d0fd0e2d483a954817c89b19061a.shtml" \t "http://www.csc.edu.cn/Chuguo/_blank" </w:instrText>
                  </w:r>
                  <w:r>
                    <w:fldChar w:fldCharType="separate"/>
                  </w:r>
                  <w:r>
                    <w:rPr>
                      <w:rStyle w:val="10"/>
                      <w:rFonts w:hint="eastAsia"/>
                      <w:color w:val="auto"/>
                      <w:sz w:val="18"/>
                      <w:szCs w:val="18"/>
                    </w:rPr>
                    <w:t>申请受理机构</w:t>
                  </w:r>
                  <w:r>
                    <w:rPr>
                      <w:rStyle w:val="10"/>
                      <w:rFonts w:hint="eastAsia"/>
                      <w:color w:val="auto"/>
                      <w:sz w:val="18"/>
                      <w:szCs w:val="18"/>
                    </w:rPr>
                    <w:fldChar w:fldCharType="end"/>
                  </w:r>
                  <w:r>
                    <w:rPr>
                      <w:rFonts w:hint="eastAsia" w:ascii="Arial" w:hAnsi="Arial" w:cs="Arial"/>
                      <w:sz w:val="18"/>
                      <w:szCs w:val="18"/>
                    </w:rPr>
                    <w:t>负责受理；</w:t>
                  </w:r>
                </w:p>
                <w:p>
                  <w:pPr>
                    <w:pStyle w:val="16"/>
                    <w:pageBreakBefore w:val="0"/>
                    <w:widowControl/>
                    <w:kinsoku/>
                    <w:wordWrap/>
                    <w:overflowPunct/>
                    <w:topLinePunct w:val="0"/>
                    <w:bidi w:val="0"/>
                    <w:snapToGrid/>
                    <w:spacing w:before="0" w:after="0" w:line="600" w:lineRule="exact"/>
                    <w:textAlignment w:val="auto"/>
                  </w:pPr>
                  <w:r>
                    <w:rPr>
                      <w:rFonts w:hint="eastAsia" w:ascii="Arial" w:hAnsi="Arial" w:cs="Arial"/>
                      <w:b/>
                      <w:sz w:val="18"/>
                      <w:szCs w:val="18"/>
                    </w:rPr>
                    <w:t>少量项目须直接向国家留学基金委提交申请材料，具体请查阅项目选派办法。</w:t>
                  </w:r>
                </w:p>
              </w:tc>
            </w:tr>
          </w:tbl>
          <w:p>
            <w:pPr>
              <w:pageBreakBefore w:val="0"/>
              <w:kinsoku/>
              <w:wordWrap/>
              <w:overflowPunct/>
              <w:topLinePunct w:val="0"/>
              <w:bidi w:val="0"/>
              <w:snapToGrid/>
              <w:spacing w:line="600" w:lineRule="exact"/>
              <w:jc w:val="left"/>
              <w:textAlignment w:val="auto"/>
              <w:rPr>
                <w:rFonts w:ascii="Arial" w:hAnsi="Arial" w:cs="Arial"/>
                <w:szCs w:val="21"/>
              </w:rPr>
            </w:pPr>
          </w:p>
        </w:tc>
      </w:tr>
    </w:tbl>
    <w:p>
      <w:pPr>
        <w:pageBreakBefore w:val="0"/>
        <w:widowControl/>
        <w:kinsoku/>
        <w:wordWrap/>
        <w:overflowPunct/>
        <w:topLinePunct w:val="0"/>
        <w:bidi w:val="0"/>
        <w:snapToGrid/>
        <w:spacing w:line="600" w:lineRule="exact"/>
        <w:textAlignment w:val="auto"/>
        <w:rPr>
          <w:rFonts w:ascii="黑体" w:hAnsi="黑体" w:eastAsia="黑体" w:cs="仿宋"/>
          <w:sz w:val="32"/>
          <w:szCs w:val="32"/>
        </w:rPr>
      </w:pPr>
      <w:r>
        <w:rPr>
          <w:rFonts w:hint="eastAsia" w:ascii="黑体" w:hAnsi="黑体" w:eastAsia="黑体" w:cs="仿宋"/>
          <w:sz w:val="32"/>
          <w:szCs w:val="32"/>
        </w:rPr>
        <w:t>附件7</w:t>
      </w:r>
    </w:p>
    <w:p>
      <w:pPr>
        <w:pageBreakBefore w:val="0"/>
        <w:widowControl/>
        <w:kinsoku/>
        <w:wordWrap/>
        <w:overflowPunct/>
        <w:topLinePunct w:val="0"/>
        <w:bidi w:val="0"/>
        <w:snapToGrid/>
        <w:spacing w:line="600" w:lineRule="exact"/>
        <w:textAlignment w:val="auto"/>
        <w:rPr>
          <w:rFonts w:ascii="黑体" w:hAnsi="黑体" w:eastAsia="黑体" w:cs="仿宋"/>
          <w:sz w:val="32"/>
          <w:szCs w:val="32"/>
        </w:rPr>
      </w:pPr>
    </w:p>
    <w:p>
      <w:pPr>
        <w:pageBreakBefore w:val="0"/>
        <w:widowControl/>
        <w:kinsoku/>
        <w:wordWrap/>
        <w:overflowPunct/>
        <w:topLinePunct w:val="0"/>
        <w:bidi w:val="0"/>
        <w:snapToGrid/>
        <w:spacing w:line="600" w:lineRule="exact"/>
        <w:jc w:val="center"/>
        <w:textAlignment w:val="auto"/>
        <w:rPr>
          <w:rFonts w:ascii="方正小标宋简体" w:hAnsi="Arial" w:eastAsia="方正小标宋简体" w:cs="Arial"/>
          <w:kern w:val="0"/>
          <w:sz w:val="44"/>
          <w:szCs w:val="44"/>
        </w:rPr>
      </w:pPr>
      <w:r>
        <w:rPr>
          <w:rFonts w:hint="eastAsia" w:ascii="方正小标宋简体" w:hAnsi="Arial" w:eastAsia="方正小标宋简体" w:cs="Arial"/>
          <w:kern w:val="0"/>
          <w:sz w:val="44"/>
          <w:szCs w:val="44"/>
        </w:rPr>
        <w:t>关于准备西部地区人才培养特别项目</w:t>
      </w:r>
    </w:p>
    <w:p>
      <w:pPr>
        <w:pageBreakBefore w:val="0"/>
        <w:widowControl/>
        <w:kinsoku/>
        <w:wordWrap/>
        <w:overflowPunct/>
        <w:topLinePunct w:val="0"/>
        <w:bidi w:val="0"/>
        <w:snapToGrid/>
        <w:spacing w:line="600" w:lineRule="exact"/>
        <w:jc w:val="center"/>
        <w:textAlignment w:val="auto"/>
        <w:rPr>
          <w:rFonts w:ascii="方正小标宋简体" w:hAnsi="Arial" w:eastAsia="方正小标宋简体" w:cs="Arial"/>
          <w:kern w:val="0"/>
          <w:sz w:val="44"/>
          <w:szCs w:val="44"/>
        </w:rPr>
      </w:pPr>
      <w:r>
        <w:rPr>
          <w:rFonts w:hint="eastAsia" w:ascii="方正小标宋简体" w:hAnsi="Arial" w:eastAsia="方正小标宋简体" w:cs="Arial"/>
          <w:kern w:val="0"/>
          <w:sz w:val="44"/>
          <w:szCs w:val="44"/>
        </w:rPr>
        <w:t>出国留学申请材料的说明</w:t>
      </w:r>
    </w:p>
    <w:p>
      <w:pPr>
        <w:pageBreakBefore w:val="0"/>
        <w:widowControl/>
        <w:kinsoku/>
        <w:wordWrap/>
        <w:overflowPunct/>
        <w:topLinePunct w:val="0"/>
        <w:bidi w:val="0"/>
        <w:snapToGrid/>
        <w:spacing w:line="600" w:lineRule="exact"/>
        <w:jc w:val="center"/>
        <w:textAlignment w:val="auto"/>
        <w:rPr>
          <w:rFonts w:ascii="方正小标宋简体" w:hAnsi="Arial" w:eastAsia="方正小标宋简体" w:cs="Arial"/>
          <w:kern w:val="0"/>
          <w:sz w:val="44"/>
          <w:szCs w:val="44"/>
        </w:rPr>
      </w:pP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一、应提交申请材料</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1.《国家留学基金管理委员会出国留学申请表》（访学类）</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2.《单位推荐意见表》</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3.国外单位正式邀请信复印件（所在单位或个人合作渠道必交）</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4.外语水平证明复印件</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5.职称证书、最高学历、学位证书复印件</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6.外方合作者简历（由其本人签字）</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7.有效身份证复印件</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8.其他仅部分项目申请人必交的材料</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    1）申请以科研团队方式派出的人员应提交所在单位出具的项目介绍等材料（详见第二条“申请材料说明”）。</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    2）申请以成班项目派出的“双肩挑”人员应提交推选单位重点推荐函。</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    3）申请高等教育教学法出国研修项目理科类、工程类、农学类、医学类及高校英语教师出国研修项目、高校专业课程出国研修项目、中学英语教师出国研修项目的人员应提交教学简历。</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    4）申请高等教育教学法出国研修项目的人员应提交所在单位出具的申请人身心健康证明。</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    5）申请高级研究学者应提交符合高级研究学者录取条件的有关证明（详见第二条“申请材料说明”）。</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    6）申请免予评审直接录取应提交符合直录条件的相关证明（详见第二条“申请材料说明”）。</w:t>
      </w:r>
    </w:p>
    <w:p>
      <w:pPr>
        <w:pageBreakBefore w:val="0"/>
        <w:widowControl/>
        <w:shd w:val="clear" w:color="auto" w:fill="FFFFFF"/>
        <w:kinsoku/>
        <w:wordWrap/>
        <w:overflowPunct/>
        <w:topLinePunct w:val="0"/>
        <w:bidi w:val="0"/>
        <w:snapToGrid/>
        <w:spacing w:line="600" w:lineRule="exact"/>
        <w:ind w:firstLine="636" w:firstLineChars="199"/>
        <w:jc w:val="left"/>
        <w:textAlignment w:val="auto"/>
        <w:rPr>
          <w:rFonts w:hint="eastAsia" w:ascii="仿宋" w:hAnsi="仿宋" w:eastAsia="仿宋" w:cs="仿宋"/>
          <w:b w:val="0"/>
          <w:bCs w:val="0"/>
          <w:color w:val="000000"/>
          <w:kern w:val="0"/>
          <w:sz w:val="32"/>
          <w:szCs w:val="32"/>
        </w:rPr>
      </w:pPr>
      <w:r>
        <w:rPr>
          <w:rFonts w:hint="eastAsia" w:ascii="仿宋" w:hAnsi="仿宋" w:eastAsia="仿宋" w:cs="仿宋"/>
          <w:b w:val="0"/>
          <w:bCs w:val="0"/>
          <w:color w:val="000000"/>
          <w:kern w:val="0"/>
          <w:sz w:val="32"/>
          <w:szCs w:val="32"/>
        </w:rPr>
        <w:t>请按以上顺序准备纸质申请材料，并按国家公派留学管理信息平台上的说明将相关材料扫描并上传至信息平台（《单位推荐意见表》、身心健康证明无需扫描上传）。如提供的材料中有英语以外语种书写的，需另提供中文翻译件。申请材料一律使用A4复印纸打印或复印，请在申请表第一页粘贴申请人近期彩色照片（一寸免冠、光纸正面）。申请人需向受理单位提交书面申请材料，由其审核留存（留存期限为两年），受理单位无需向国家留学基金委提交纸质材料。如申请的国家留学基金委与国外高校/机构合作协议对申请材料有特殊要求，则根据具体合作协议规定执行。</w:t>
      </w:r>
    </w:p>
    <w:p>
      <w:pPr>
        <w:pageBreakBefore w:val="0"/>
        <w:widowControl/>
        <w:shd w:val="clear" w:color="auto" w:fill="FFFFFF"/>
        <w:kinsoku/>
        <w:wordWrap/>
        <w:overflowPunct/>
        <w:topLinePunct w:val="0"/>
        <w:bidi w:val="0"/>
        <w:snapToGrid/>
        <w:spacing w:line="600" w:lineRule="exact"/>
        <w:ind w:firstLine="639" w:firstLineChars="199"/>
        <w:jc w:val="left"/>
        <w:textAlignment w:val="auto"/>
        <w:rPr>
          <w:rFonts w:ascii="黑体" w:hAnsi="黑体" w:eastAsia="黑体" w:cs="Helvetica"/>
          <w:b/>
          <w:bCs/>
          <w:color w:val="000000"/>
          <w:kern w:val="0"/>
          <w:sz w:val="32"/>
          <w:szCs w:val="32"/>
        </w:rPr>
      </w:pPr>
      <w:r>
        <w:rPr>
          <w:rFonts w:ascii="黑体" w:hAnsi="黑体" w:eastAsia="黑体" w:cs="Helvetica"/>
          <w:b/>
          <w:bCs/>
          <w:color w:val="000000"/>
          <w:kern w:val="0"/>
          <w:sz w:val="32"/>
          <w:szCs w:val="32"/>
        </w:rPr>
        <w:t>二、申请材料说明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1.《国家留学基金管理委员会出国留学申请表》（访学类）</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申请人需先登录“国家公派留学管理信息平台”，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网上申请表正式提交后不能再修改信息（如留学期限、留学国别等）。申请人需在纸质申请表“申请人签字”栏中签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2.《单位推荐意见表》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单位推荐意见表在申请人打印申请表时由网上报名系统自动生成（申请人在网上报名阶段此表不在报名系统中显示）。推荐意见应由申请人所在部门（院、系、所等）针对每位申请人填写。上级批准意见由所在单位负责选拔工作的主管部门在认真核对申请人所填信息后填写，应加盖推荐单位公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3.国外单位正式邀请信复印件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申报时必须提交国外大学或科研机构的邀请信/函（申报</w:t>
      </w:r>
      <w:r>
        <w:rPr>
          <w:rStyle w:val="8"/>
          <w:rFonts w:hint="eastAsia" w:ascii="仿宋" w:hAnsi="仿宋" w:eastAsia="仿宋" w:cs="仿宋"/>
          <w:i w:val="0"/>
          <w:caps w:val="0"/>
          <w:color w:val="000000"/>
          <w:spacing w:val="0"/>
          <w:sz w:val="32"/>
          <w:szCs w:val="32"/>
          <w:u w:val="none"/>
          <w:shd w:val="clear" w:fill="FFFFFF"/>
        </w:rPr>
        <w:t>“通过国家留学基金委与国外高校合作协议派出项目”</w:t>
      </w:r>
      <w:r>
        <w:rPr>
          <w:rFonts w:hint="eastAsia" w:ascii="仿宋" w:hAnsi="仿宋" w:eastAsia="仿宋" w:cs="仿宋"/>
          <w:b w:val="0"/>
          <w:i w:val="0"/>
          <w:caps w:val="0"/>
          <w:color w:val="000000"/>
          <w:spacing w:val="0"/>
          <w:sz w:val="32"/>
          <w:szCs w:val="32"/>
          <w:u w:val="none"/>
          <w:shd w:val="clear" w:fill="FFFFFF"/>
        </w:rPr>
        <w:t>人员除外）。</w:t>
      </w:r>
      <w:r>
        <w:rPr>
          <w:rStyle w:val="8"/>
          <w:rFonts w:hint="eastAsia" w:ascii="仿宋" w:hAnsi="仿宋" w:eastAsia="仿宋" w:cs="仿宋"/>
          <w:i w:val="0"/>
          <w:caps w:val="0"/>
          <w:color w:val="000000"/>
          <w:spacing w:val="0"/>
          <w:sz w:val="32"/>
          <w:szCs w:val="32"/>
          <w:u w:val="none"/>
          <w:shd w:val="clear" w:fill="FFFFFF"/>
        </w:rPr>
        <w:t>正式邀请信/函一般应由外方教授/邀请单位签发，并使用邀请单位专用信纸打印。</w:t>
      </w:r>
      <w:r>
        <w:rPr>
          <w:rFonts w:hint="eastAsia" w:ascii="仿宋" w:hAnsi="仿宋" w:eastAsia="仿宋" w:cs="仿宋"/>
          <w:b w:val="0"/>
          <w:i w:val="0"/>
          <w:caps w:val="0"/>
          <w:color w:val="000000"/>
          <w:spacing w:val="0"/>
          <w:sz w:val="32"/>
          <w:szCs w:val="32"/>
          <w:u w:val="none"/>
          <w:shd w:val="clear" w:fill="FFFFFF"/>
        </w:rPr>
        <w:t>邀请信/函</w:t>
      </w:r>
      <w:r>
        <w:rPr>
          <w:rStyle w:val="8"/>
          <w:rFonts w:hint="eastAsia" w:ascii="仿宋" w:hAnsi="仿宋" w:eastAsia="仿宋" w:cs="仿宋"/>
          <w:i w:val="0"/>
          <w:caps w:val="0"/>
          <w:color w:val="000000"/>
          <w:spacing w:val="0"/>
          <w:sz w:val="32"/>
          <w:szCs w:val="32"/>
          <w:u w:val="none"/>
          <w:shd w:val="clear" w:fill="FFFFFF"/>
        </w:rPr>
        <w:t>应明确如下内容</w:t>
      </w:r>
      <w:r>
        <w:rPr>
          <w:rFonts w:hint="eastAsia" w:ascii="仿宋" w:hAnsi="仿宋" w:eastAsia="仿宋" w:cs="仿宋"/>
          <w:b w:val="0"/>
          <w:i w:val="0"/>
          <w:caps w:val="0"/>
          <w:color w:val="000000"/>
          <w:spacing w:val="0"/>
          <w:sz w:val="32"/>
          <w:szCs w:val="32"/>
          <w:u w:val="none"/>
          <w:shd w:val="clear" w:fill="FFFFFF"/>
        </w:rPr>
        <w:t>（若所申请出国留学项目对国外邀请信有特别要求，应按项目要求准备）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①基本信息：姓名、国内单位等；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②留学身份：高级研究学者、访问学者/博士后研究；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③留学期限：明确到起止时间；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④留学专业、课题或研究方向；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⑤是否符合接受方外语水平要求；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⑥资金资助情况；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⑦外方负责人签字（含电子签名）与联系方式。</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4.外语水平证明复印件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申请人应按所申报项目有关外语水平要求提交相应的有效外语水平证明复印件。曾在同一语种国家学习/工作的证明材料，应由我驻外使(领)馆教育处(组)，或所在单位人事部门出具（此种情况应同时提供外方证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5.职称证书、最高学历、学位证书复印件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申请人应提供所持有的最高职称、最高学历及学位证书的复印件。网报时请将以上文件合并为一个电子文档进行上传。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6.外方合作者简历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主要包括国外合作者的教育、学术背景；目前从事科研项目及近五年内科研、论文发表情况；在国外著名学术机构任职情况等，原则上不超过一页。国外合作者简历需由其本人提供并签字。</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7.有效身份证复印件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申请人须将身份证正反面（个人信息、证件有效期和发证机关）同时复印在同一张A4纸上。</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8.仅部分项目申请人必交的材料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1）申请以科研团队方式派出的人员应提交的材料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应至少包括：所在单位出具的有关项目证明材料（需加盖公章）、项目介绍、项目组组长、成员及分工介绍。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2）申请以成班项目派出的“双肩挑”人员应提交的推选单位重点推荐函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推选单位重点推荐函应包括具体推荐理由、申请人目前承担的教学任务、教学工作占全部工作的比重。应使用学校正式文头纸打印，并加盖单位公章。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3）申请高等教育教学法出国研修项目理科类、工程类、农学类、医学类及高校英语教师出国研修项目、高校专业课程出国研修项目、中学英语教师出国研修项目的人员应提交的教学简历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教学简历应主要讲述教学经历，应包含近3年教授的课程名称、课时量、课程性质、课程简要说明等。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4）申请高等教育教学法出国研修项目人员应提交的所在单位出具的申请人身心健康证明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身心健康证明应由所在单位出具，原件提交至受理机构，无需上传至信息平台。</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5）申请高级研究学者所需材料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应提供符合高级研究学者申报条件的证明材料，如国家级人才计划入选者的相关证明材料复印件等。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eastAsia" w:ascii="仿宋" w:hAnsi="仿宋" w:eastAsia="仿宋" w:cs="仿宋"/>
          <w:b w:val="0"/>
          <w:i w:val="0"/>
          <w:caps w:val="0"/>
          <w:color w:val="000000"/>
          <w:spacing w:val="0"/>
          <w:sz w:val="32"/>
          <w:szCs w:val="32"/>
          <w:u w:val="none"/>
        </w:rPr>
      </w:pPr>
      <w:r>
        <w:rPr>
          <w:rFonts w:hint="eastAsia" w:ascii="仿宋" w:hAnsi="仿宋" w:eastAsia="仿宋" w:cs="仿宋"/>
          <w:b w:val="0"/>
          <w:i w:val="0"/>
          <w:caps w:val="0"/>
          <w:color w:val="000000"/>
          <w:spacing w:val="0"/>
          <w:sz w:val="32"/>
          <w:szCs w:val="32"/>
          <w:u w:val="none"/>
          <w:shd w:val="clear" w:fill="FFFFFF"/>
        </w:rPr>
        <w:t>    6）申请免予评审直接录取所需材料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bidi w:val="0"/>
        <w:snapToGrid/>
        <w:spacing w:before="0" w:beforeAutospacing="0" w:after="0" w:afterAutospacing="0" w:line="600" w:lineRule="exact"/>
        <w:ind w:left="0" w:right="0" w:firstLine="420"/>
        <w:textAlignment w:val="auto"/>
        <w:rPr>
          <w:rFonts w:hint="default" w:ascii="Helvetica Neue" w:hAnsi="Helvetica Neue" w:eastAsia="Helvetica Neue" w:cs="Helvetica Neue"/>
          <w:b w:val="0"/>
          <w:i w:val="0"/>
          <w:caps w:val="0"/>
          <w:color w:val="000000"/>
          <w:spacing w:val="0"/>
          <w:sz w:val="24"/>
          <w:szCs w:val="24"/>
        </w:rPr>
      </w:pPr>
      <w:r>
        <w:rPr>
          <w:rFonts w:hint="eastAsia" w:ascii="仿宋" w:hAnsi="仿宋" w:eastAsia="仿宋" w:cs="仿宋"/>
          <w:b w:val="0"/>
          <w:i w:val="0"/>
          <w:caps w:val="0"/>
          <w:color w:val="000000"/>
          <w:spacing w:val="0"/>
          <w:sz w:val="32"/>
          <w:szCs w:val="32"/>
          <w:u w:val="none"/>
          <w:shd w:val="clear" w:fill="FFFFFF"/>
        </w:rPr>
        <w:t>    两院院士、长江学者特聘教授申请高级研究学者的人员及全国优秀博士学位论文入选者申请访问学者（含博士后）的人员，应提交相关证明作为直录材料</w:t>
      </w:r>
      <w:r>
        <w:rPr>
          <w:rFonts w:hint="default" w:ascii="Helvetica Neue" w:hAnsi="Helvetica Neue" w:eastAsia="Helvetica Neue" w:cs="Helvetica Neue"/>
          <w:b w:val="0"/>
          <w:i w:val="0"/>
          <w:caps w:val="0"/>
          <w:color w:val="000000"/>
          <w:spacing w:val="0"/>
          <w:sz w:val="24"/>
          <w:szCs w:val="24"/>
          <w:shd w:val="clear" w:fill="FFFFFF"/>
        </w:rPr>
        <w:t>。</w:t>
      </w:r>
    </w:p>
    <w:p>
      <w:pPr>
        <w:pageBreakBefore w:val="0"/>
        <w:kinsoku/>
        <w:wordWrap/>
        <w:overflowPunct/>
        <w:topLinePunct w:val="0"/>
        <w:bidi w:val="0"/>
        <w:snapToGrid/>
        <w:spacing w:line="600" w:lineRule="exact"/>
        <w:ind w:right="-57" w:rightChars="-27"/>
        <w:textAlignment w:val="auto"/>
        <w:rPr>
          <w:rFonts w:ascii="仿宋" w:hAnsi="仿宋" w:eastAsia="仿宋" w:cs="Arial"/>
          <w:kern w:val="0"/>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ind w:firstLine="601"/>
        <w:textAlignment w:val="auto"/>
        <w:rPr>
          <w:rFonts w:ascii="仿宋_GB2312" w:hAnsi="宋体" w:eastAsia="仿宋_GB2312"/>
          <w:spacing w:val="-6"/>
          <w:sz w:val="32"/>
          <w:szCs w:val="32"/>
        </w:rPr>
      </w:pPr>
    </w:p>
    <w:p>
      <w:pPr>
        <w:pageBreakBefore w:val="0"/>
        <w:kinsoku/>
        <w:wordWrap/>
        <w:overflowPunct/>
        <w:topLinePunct w:val="0"/>
        <w:bidi w:val="0"/>
        <w:snapToGrid/>
        <w:spacing w:line="600" w:lineRule="exact"/>
        <w:textAlignment w:val="auto"/>
        <w:rPr>
          <w:rFonts w:ascii="仿宋_GB2312" w:hAnsi="宋体" w:eastAsia="仿宋_GB2312"/>
          <w:spacing w:val="-6"/>
          <w:sz w:val="32"/>
          <w:szCs w:val="32"/>
        </w:rPr>
      </w:pPr>
    </w:p>
    <w:sectPr>
      <w:footerReference r:id="rId3" w:type="default"/>
      <w:pgSz w:w="11906" w:h="16838"/>
      <w:pgMar w:top="2041"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t>36</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2D668D"/>
    <w:multiLevelType w:val="singleLevel"/>
    <w:tmpl w:val="592D668D"/>
    <w:lvl w:ilvl="0" w:tentative="0">
      <w:start w:val="4"/>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F23"/>
    <w:rsid w:val="001B418E"/>
    <w:rsid w:val="00207CE9"/>
    <w:rsid w:val="0021117C"/>
    <w:rsid w:val="0027481C"/>
    <w:rsid w:val="002A7BE9"/>
    <w:rsid w:val="00393066"/>
    <w:rsid w:val="003F5BBB"/>
    <w:rsid w:val="00625A2F"/>
    <w:rsid w:val="00631112"/>
    <w:rsid w:val="00681957"/>
    <w:rsid w:val="006F0872"/>
    <w:rsid w:val="00B26F23"/>
    <w:rsid w:val="00CE51DC"/>
    <w:rsid w:val="00EA7E2E"/>
    <w:rsid w:val="00F01149"/>
    <w:rsid w:val="063B6398"/>
    <w:rsid w:val="0E600D0D"/>
    <w:rsid w:val="1C387B73"/>
    <w:rsid w:val="25384EE5"/>
    <w:rsid w:val="27160726"/>
    <w:rsid w:val="2D35123F"/>
    <w:rsid w:val="3C644C3F"/>
    <w:rsid w:val="44DB0ABC"/>
    <w:rsid w:val="4A4B0925"/>
    <w:rsid w:val="52A31934"/>
    <w:rsid w:val="586D5D7B"/>
    <w:rsid w:val="668D65D6"/>
    <w:rsid w:val="6F0D578B"/>
    <w:rsid w:val="70A845F3"/>
    <w:rsid w:val="75EA6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uiPriority w:val="0"/>
    <w:pPr>
      <w:keepNext/>
      <w:keepLines/>
      <w:spacing w:before="340" w:after="330" w:line="576" w:lineRule="auto"/>
      <w:outlineLvl w:val="0"/>
    </w:pPr>
    <w:rPr>
      <w:rFonts w:ascii="仿宋_GB2312" w:hAnsi="宋体" w:eastAsia="仿宋_GB2312"/>
      <w:b/>
      <w:bCs/>
      <w:kern w:val="44"/>
      <w:sz w:val="44"/>
      <w:szCs w:val="44"/>
    </w:rPr>
  </w:style>
  <w:style w:type="character" w:default="1" w:styleId="7">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20"/>
    <w:unhideWhenUsed/>
    <w:qFormat/>
    <w:uiPriority w:val="99"/>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qFormat/>
    <w:uiPriority w:val="0"/>
    <w:rPr>
      <w:rFonts w:cs="Times New Roman"/>
      <w:b/>
    </w:rPr>
  </w:style>
  <w:style w:type="character" w:styleId="9">
    <w:name w:val="page number"/>
    <w:basedOn w:val="7"/>
    <w:unhideWhenUsed/>
    <w:qFormat/>
    <w:uiPriority w:val="99"/>
  </w:style>
  <w:style w:type="character" w:styleId="10">
    <w:name w:val="Hyperlink"/>
    <w:qFormat/>
    <w:uiPriority w:val="0"/>
    <w:rPr>
      <w:rFonts w:cs="Times New Roman"/>
      <w:color w:val="0000FF"/>
      <w:u w:val="single"/>
    </w:rPr>
  </w:style>
  <w:style w:type="character" w:customStyle="1" w:styleId="12">
    <w:name w:val="标题 1 Char"/>
    <w:link w:val="2"/>
    <w:semiHidden/>
    <w:qFormat/>
    <w:uiPriority w:val="0"/>
    <w:rPr>
      <w:rFonts w:ascii="仿宋_GB2312" w:hAnsi="宋体" w:eastAsia="仿宋_GB2312" w:cs="Times New Roman"/>
      <w:b/>
      <w:bCs/>
      <w:kern w:val="44"/>
      <w:sz w:val="44"/>
      <w:szCs w:val="44"/>
    </w:rPr>
  </w:style>
  <w:style w:type="character" w:customStyle="1" w:styleId="13">
    <w:name w:val="页脚 Char"/>
    <w:link w:val="4"/>
    <w:semiHidden/>
    <w:qFormat/>
    <w:uiPriority w:val="0"/>
    <w:rPr>
      <w:rFonts w:cs="Times New Roman"/>
      <w:sz w:val="18"/>
      <w:szCs w:val="18"/>
    </w:rPr>
  </w:style>
  <w:style w:type="character" w:customStyle="1" w:styleId="14">
    <w:name w:val="页眉 Char"/>
    <w:link w:val="5"/>
    <w:semiHidden/>
    <w:qFormat/>
    <w:uiPriority w:val="0"/>
    <w:rPr>
      <w:rFonts w:cs="Times New Roman"/>
      <w:sz w:val="18"/>
      <w:szCs w:val="18"/>
    </w:rPr>
  </w:style>
  <w:style w:type="paragraph" w:customStyle="1" w:styleId="15">
    <w:name w:val="批注框文本 Char Char"/>
    <w:basedOn w:val="1"/>
    <w:link w:val="18"/>
    <w:qFormat/>
    <w:uiPriority w:val="0"/>
    <w:rPr>
      <w:sz w:val="18"/>
      <w:szCs w:val="18"/>
    </w:rPr>
  </w:style>
  <w:style w:type="paragraph" w:customStyle="1" w:styleId="16">
    <w:name w:val="普通(网站)1"/>
    <w:basedOn w:val="1"/>
    <w:qFormat/>
    <w:uiPriority w:val="0"/>
    <w:pPr>
      <w:spacing w:before="210" w:after="210"/>
      <w:ind w:firstLine="420"/>
      <w:jc w:val="left"/>
    </w:pPr>
    <w:rPr>
      <w:kern w:val="0"/>
      <w:sz w:val="24"/>
      <w:szCs w:val="20"/>
    </w:rPr>
  </w:style>
  <w:style w:type="paragraph" w:customStyle="1" w:styleId="17">
    <w:name w:val="列出段落1"/>
    <w:basedOn w:val="1"/>
    <w:qFormat/>
    <w:uiPriority w:val="0"/>
    <w:pPr>
      <w:ind w:firstLine="420" w:firstLineChars="200"/>
    </w:pPr>
  </w:style>
  <w:style w:type="character" w:customStyle="1" w:styleId="18">
    <w:name w:val="批注框文本 Char Char Char Char"/>
    <w:link w:val="15"/>
    <w:semiHidden/>
    <w:qFormat/>
    <w:uiPriority w:val="0"/>
    <w:rPr>
      <w:rFonts w:ascii="Times New Roman" w:hAnsi="Times New Roman" w:eastAsia="宋体" w:cs="Times New Roman"/>
      <w:sz w:val="18"/>
      <w:szCs w:val="18"/>
    </w:rPr>
  </w:style>
  <w:style w:type="character" w:customStyle="1" w:styleId="19">
    <w:name w:val="页码1"/>
    <w:basedOn w:val="7"/>
    <w:qFormat/>
    <w:uiPriority w:val="0"/>
  </w:style>
  <w:style w:type="character" w:customStyle="1" w:styleId="20">
    <w:name w:val="批注框文本 Char"/>
    <w:basedOn w:val="7"/>
    <w:link w:val="3"/>
    <w:semiHidden/>
    <w:qFormat/>
    <w:uiPriority w:val="99"/>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2819</Words>
  <Characters>16070</Characters>
  <Lines>133</Lines>
  <Paragraphs>37</Paragraphs>
  <TotalTime>6</TotalTime>
  <ScaleCrop>false</ScaleCrop>
  <LinksUpToDate>false</LinksUpToDate>
  <CharactersWithSpaces>18852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2017-03-06T08:40:00Z</dcterms:created>
  <dc:creator>Lenovo</dc:creator>
  <cp:lastModifiedBy>NTKO</cp:lastModifiedBy>
  <cp:lastPrinted>2018-02-28T04:02:00Z</cp:lastPrinted>
  <dcterms:modified xsi:type="dcterms:W3CDTF">2018-02-28T04:20:09Z</dcterms:modified>
  <dc:title>wlb</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