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95B051C">
      <w:pPr>
        <w:keepNext w:val="0"/>
        <w:keepLines w:val="0"/>
        <w:pageBreakBefore w:val="0"/>
        <w:widowControl w:val="0"/>
        <w:suppressLineNumbers w:val="0"/>
        <w:kinsoku/>
        <w:wordWrap/>
        <w:overflowPunct/>
        <w:topLinePunct w:val="0"/>
        <w:autoSpaceDE/>
        <w:autoSpaceDN/>
        <w:bidi w:val="0"/>
        <w:adjustRightInd/>
        <w:snapToGrid/>
        <w:jc w:val="left"/>
        <w:textAlignment w:val="auto"/>
        <w:outlineLvl w:val="0"/>
      </w:pPr>
    </w:p>
    <w:p w14:paraId="60D89001">
      <w:pPr>
        <w:keepNext w:val="0"/>
        <w:keepLines w:val="0"/>
        <w:pageBreakBefore w:val="0"/>
        <w:widowControl w:val="0"/>
        <w:suppressLineNumbers w:val="0"/>
        <w:kinsoku/>
        <w:wordWrap/>
        <w:overflowPunct/>
        <w:topLinePunct w:val="0"/>
        <w:autoSpaceDE/>
        <w:autoSpaceDN/>
        <w:bidi w:val="0"/>
        <w:adjustRightInd/>
        <w:snapToGrid/>
        <w:jc w:val="left"/>
        <w:textAlignment w:val="auto"/>
        <w:outlineLvl w:val="0"/>
      </w:pPr>
      <w:r>
        <w:drawing>
          <wp:inline distT="0" distB="0" distL="114300" distR="114300">
            <wp:extent cx="3164205" cy="1002665"/>
            <wp:effectExtent l="0" t="0" r="0" b="317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5"/>
                    <a:stretch>
                      <a:fillRect/>
                    </a:stretch>
                  </pic:blipFill>
                  <pic:spPr>
                    <a:xfrm>
                      <a:off x="0" y="0"/>
                      <a:ext cx="3164205" cy="1002665"/>
                    </a:xfrm>
                    <a:prstGeom prst="rect">
                      <a:avLst/>
                    </a:prstGeom>
                    <a:noFill/>
                    <a:ln>
                      <a:noFill/>
                    </a:ln>
                  </pic:spPr>
                </pic:pic>
              </a:graphicData>
            </a:graphic>
          </wp:inline>
        </w:drawing>
      </w:r>
    </w:p>
    <w:p w14:paraId="3A3EF370">
      <w:pPr>
        <w:keepNext w:val="0"/>
        <w:keepLines w:val="0"/>
        <w:pageBreakBefore w:val="0"/>
        <w:widowControl w:val="0"/>
        <w:suppressLineNumbers w:val="0"/>
        <w:kinsoku/>
        <w:wordWrap/>
        <w:overflowPunct/>
        <w:topLinePunct w:val="0"/>
        <w:autoSpaceDE/>
        <w:autoSpaceDN/>
        <w:bidi w:val="0"/>
        <w:adjustRightInd/>
        <w:snapToGrid/>
        <w:jc w:val="left"/>
        <w:textAlignment w:val="auto"/>
        <w:outlineLvl w:val="0"/>
      </w:pPr>
    </w:p>
    <w:p w14:paraId="2B904FEC">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方正小标宋简体" w:hAnsi="方正小标宋简体" w:eastAsia="方正小标宋简体" w:cs="方正小标宋简体"/>
          <w:sz w:val="72"/>
          <w:szCs w:val="72"/>
          <w:lang w:val="en-US" w:eastAsia="zh-CN"/>
        </w:rPr>
      </w:pPr>
      <w:r>
        <w:rPr>
          <w:rFonts w:hint="eastAsia" w:ascii="方正小标宋简体" w:hAnsi="方正小标宋简体" w:eastAsia="方正小标宋简体" w:cs="方正小标宋简体"/>
          <w:sz w:val="72"/>
          <w:szCs w:val="72"/>
          <w:lang w:val="en-US" w:eastAsia="zh-CN"/>
        </w:rPr>
        <w:t>本科教育教学审核评估</w:t>
      </w:r>
    </w:p>
    <w:p w14:paraId="3D292DEC">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方正小标宋简体" w:hAnsi="方正小标宋简体" w:eastAsia="方正小标宋简体" w:cs="方正小标宋简体"/>
          <w:sz w:val="72"/>
          <w:szCs w:val="72"/>
          <w:lang w:val="en-US" w:eastAsia="zh-CN"/>
        </w:rPr>
      </w:pPr>
      <w:r>
        <w:rPr>
          <w:rFonts w:hint="eastAsia" w:ascii="方正小标宋简体" w:hAnsi="方正小标宋简体" w:eastAsia="方正小标宋简体" w:cs="方正小标宋简体"/>
          <w:sz w:val="72"/>
          <w:szCs w:val="72"/>
          <w:lang w:val="en-US" w:eastAsia="zh-CN"/>
        </w:rPr>
        <w:t>知识手册(二)</w:t>
      </w:r>
    </w:p>
    <w:p w14:paraId="77A7DDDC">
      <w:pPr>
        <w:keepNext w:val="0"/>
        <w:keepLines w:val="0"/>
        <w:pageBreakBefore w:val="0"/>
        <w:widowControl w:val="0"/>
        <w:suppressLineNumbers w:val="0"/>
        <w:kinsoku/>
        <w:wordWrap/>
        <w:overflowPunct/>
        <w:topLinePunct w:val="0"/>
        <w:autoSpaceDE/>
        <w:autoSpaceDN/>
        <w:bidi w:val="0"/>
        <w:adjustRightInd/>
        <w:snapToGrid/>
        <w:jc w:val="right"/>
        <w:textAlignment w:val="auto"/>
        <w:outlineLvl w:val="0"/>
        <w:rPr>
          <w:rFonts w:hint="eastAsia" w:ascii="黑体" w:hAnsi="黑体" w:eastAsia="黑体" w:cs="黑体"/>
          <w:sz w:val="52"/>
          <w:szCs w:val="52"/>
          <w:lang w:val="en-US" w:eastAsia="zh-CN"/>
        </w:rPr>
      </w:pPr>
      <w:r>
        <w:rPr>
          <w:rFonts w:hint="eastAsia" w:ascii="黑体" w:hAnsi="黑体" w:eastAsia="黑体" w:cs="黑体"/>
          <w:sz w:val="52"/>
          <w:szCs w:val="52"/>
          <w:lang w:val="en-US" w:eastAsia="zh-CN"/>
        </w:rPr>
        <w:t>学生版</w:t>
      </w:r>
    </w:p>
    <w:p w14:paraId="6ABFC6F8">
      <w:pPr>
        <w:keepNext w:val="0"/>
        <w:keepLines w:val="0"/>
        <w:pageBreakBefore w:val="0"/>
        <w:widowControl w:val="0"/>
        <w:suppressLineNumbers w:val="0"/>
        <w:kinsoku/>
        <w:wordWrap/>
        <w:overflowPunct/>
        <w:topLinePunct w:val="0"/>
        <w:autoSpaceDE/>
        <w:autoSpaceDN/>
        <w:bidi w:val="0"/>
        <w:adjustRightInd/>
        <w:snapToGrid/>
        <w:jc w:val="left"/>
        <w:textAlignment w:val="auto"/>
        <w:outlineLvl w:val="0"/>
        <w:rPr>
          <w:rFonts w:hint="eastAsia" w:ascii="黑体" w:hAnsi="黑体" w:eastAsia="黑体" w:cs="黑体"/>
          <w:sz w:val="52"/>
          <w:szCs w:val="52"/>
          <w:lang w:val="en-US" w:eastAsia="zh-CN"/>
        </w:rPr>
      </w:pPr>
      <w:r>
        <w:rPr>
          <w:rFonts w:ascii="宋体" w:hAnsi="宋体" w:eastAsia="宋体" w:cs="宋体"/>
          <w:sz w:val="24"/>
          <w:szCs w:val="24"/>
        </w:rPr>
        <w:drawing>
          <wp:inline distT="0" distB="0" distL="114300" distR="114300">
            <wp:extent cx="5264785" cy="3094355"/>
            <wp:effectExtent l="0" t="0" r="26670" b="0"/>
            <wp:docPr id="4" name="图片 2" descr="7b0a202020202266696c746572223a202230222c0a20202020227069636672616d65646573223a20222670666d38333230343239393839262673707432312d312626626474303026267764743235353026266f726773697a653030262670667431323226220a7d0a"/>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picid" s:val="{78205687-dffa-465d-8561-02f4a4648f14}"/>
                  </s:tag>
                </a:ext>
              </a:extLst>
            </wp:cNvGraphicFramePr>
            <a:graphic xmlns:a="http://schemas.openxmlformats.org/drawingml/2006/main">
              <a:graphicData uri="http://schemas.openxmlformats.org/drawingml/2006/picture">
                <pic:pic xmlns:pic="http://schemas.openxmlformats.org/drawingml/2006/picture">
                  <pic:nvPicPr>
                    <pic:cNvPr id="4" name="图片 2" descr="7b0a202020202266696c746572223a202230222c0a20202020227069636672616d65646573223a20222670666d38333230343239393839262673707432312d312626626474303026267764743235353026266f726773697a653030262670667431323226220a7d0a"/>
                    <pic:cNvPicPr>
                      <a:picLocks noChangeAspect="1"/>
                    </pic:cNvPicPr>
                  </pic:nvPicPr>
                  <pic:blipFill>
                    <a:blip r:embed="rId6">
                      <a:extLst>
                        <a:ext uri="{BEBA8EAE-BF5A-486C-A8C5-ECC9F3942E4B}">
                          <a14:imgProps xmlns:a14="http://schemas.microsoft.com/office/drawing/2010/main">
                            <a14:imgLayer r:embed="rId7"/>
                          </a14:imgProps>
                        </a:ext>
                      </a:extLst>
                    </a:blip>
                    <a:srcRect/>
                    <a:stretch>
                      <a:fillRect/>
                    </a:stretch>
                  </pic:blipFill>
                  <pic:spPr>
                    <a:xfrm>
                      <a:off x="0" y="0"/>
                      <a:ext cx="5264785" cy="3094355"/>
                    </a:xfrm>
                    <a:prstGeom prst="rect">
                      <a:avLst/>
                    </a:prstGeom>
                    <a:effectLst>
                      <a:outerShdw blurRad="50800" dist="38100" dir="5400000" algn="t" rotWithShape="0">
                        <a:prstClr val="black">
                          <a:alpha val="4000"/>
                        </a:prstClr>
                      </a:outerShdw>
                      <a:softEdge rad="203200"/>
                    </a:effectLst>
                  </pic:spPr>
                </pic:pic>
              </a:graphicData>
            </a:graphic>
          </wp:inline>
        </w:drawing>
      </w:r>
    </w:p>
    <w:p w14:paraId="70F73AB2">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楷体" w:hAnsi="楷体" w:eastAsia="楷体" w:cs="楷体"/>
          <w:b w:val="0"/>
          <w:bCs w:val="0"/>
          <w:color w:val="000000"/>
          <w:kern w:val="0"/>
          <w:sz w:val="44"/>
          <w:szCs w:val="44"/>
          <w:lang w:val="en-US" w:eastAsia="zh-CN" w:bidi="ar"/>
        </w:rPr>
      </w:pPr>
    </w:p>
    <w:p w14:paraId="7741EBA9">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楷体" w:hAnsi="楷体" w:eastAsia="楷体" w:cs="楷体"/>
          <w:b w:val="0"/>
          <w:bCs w:val="0"/>
          <w:color w:val="000000"/>
          <w:kern w:val="0"/>
          <w:sz w:val="44"/>
          <w:szCs w:val="44"/>
          <w:lang w:val="en-US" w:eastAsia="zh-CN" w:bidi="ar"/>
        </w:rPr>
      </w:pPr>
      <w:r>
        <w:rPr>
          <w:rFonts w:hint="eastAsia" w:ascii="楷体" w:hAnsi="楷体" w:eastAsia="楷体" w:cs="楷体"/>
          <w:b w:val="0"/>
          <w:bCs w:val="0"/>
          <w:color w:val="000000"/>
          <w:kern w:val="0"/>
          <w:sz w:val="44"/>
          <w:szCs w:val="44"/>
          <w:lang w:val="en-US" w:eastAsia="zh-CN" w:bidi="ar"/>
        </w:rPr>
        <w:t>本科教育教学评估中心</w:t>
      </w:r>
    </w:p>
    <w:p w14:paraId="2FFA7F28">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楷体" w:hAnsi="楷体" w:eastAsia="楷体" w:cs="楷体"/>
          <w:b w:val="0"/>
          <w:bCs w:val="0"/>
          <w:color w:val="000000"/>
          <w:kern w:val="0"/>
          <w:sz w:val="44"/>
          <w:szCs w:val="44"/>
          <w:lang w:val="en-US" w:eastAsia="zh-CN" w:bidi="ar"/>
        </w:rPr>
      </w:pPr>
      <w:r>
        <w:rPr>
          <w:rFonts w:hint="eastAsia" w:ascii="楷体" w:hAnsi="楷体" w:eastAsia="楷体" w:cs="楷体"/>
          <w:b w:val="0"/>
          <w:bCs w:val="0"/>
          <w:color w:val="000000"/>
          <w:kern w:val="0"/>
          <w:sz w:val="44"/>
          <w:szCs w:val="44"/>
          <w:lang w:val="en-US" w:eastAsia="zh-CN" w:bidi="ar"/>
        </w:rPr>
        <w:t>党委学生工作部</w:t>
      </w:r>
    </w:p>
    <w:p w14:paraId="2A758176">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楷体" w:hAnsi="楷体" w:eastAsia="楷体" w:cs="楷体"/>
          <w:b w:val="0"/>
          <w:bCs w:val="0"/>
          <w:color w:val="000000"/>
          <w:kern w:val="0"/>
          <w:sz w:val="44"/>
          <w:szCs w:val="44"/>
          <w:lang w:val="en-US" w:eastAsia="zh-CN" w:bidi="ar"/>
        </w:rPr>
      </w:pPr>
      <w:r>
        <w:rPr>
          <w:rFonts w:hint="eastAsia" w:ascii="楷体" w:hAnsi="楷体" w:eastAsia="楷体" w:cs="楷体"/>
          <w:b w:val="0"/>
          <w:bCs w:val="0"/>
          <w:color w:val="000000"/>
          <w:kern w:val="0"/>
          <w:sz w:val="44"/>
          <w:szCs w:val="44"/>
          <w:lang w:val="en-US" w:eastAsia="zh-CN" w:bidi="ar"/>
        </w:rPr>
        <w:t>2025年5月</w:t>
      </w:r>
    </w:p>
    <w:p w14:paraId="1D0C3E4E">
      <w:pPr>
        <w:keepNext w:val="0"/>
        <w:keepLines w:val="0"/>
        <w:pageBreakBefore w:val="0"/>
        <w:widowControl w:val="0"/>
        <w:suppressLineNumbers w:val="0"/>
        <w:kinsoku/>
        <w:wordWrap/>
        <w:overflowPunct/>
        <w:topLinePunct w:val="0"/>
        <w:autoSpaceDE/>
        <w:autoSpaceDN/>
        <w:bidi w:val="0"/>
        <w:adjustRightInd/>
        <w:snapToGrid/>
        <w:jc w:val="center"/>
        <w:textAlignment w:val="auto"/>
        <w:outlineLvl w:val="0"/>
        <w:rPr>
          <w:rFonts w:hint="eastAsia" w:ascii="宋体" w:hAnsi="宋体" w:eastAsia="宋体" w:cs="宋体"/>
          <w:b/>
          <w:bCs/>
          <w:color w:val="000000"/>
          <w:kern w:val="0"/>
          <w:sz w:val="31"/>
          <w:szCs w:val="31"/>
          <w:lang w:val="en-US" w:eastAsia="zh-CN" w:bidi="ar"/>
        </w:rPr>
      </w:pPr>
    </w:p>
    <w:p w14:paraId="2828B145">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highlight w:val="green"/>
          <w:lang w:val="en-US" w:eastAsia="zh-CN"/>
        </w:rPr>
      </w:pPr>
      <w:r>
        <w:rPr>
          <w:rFonts w:hint="eastAsia" w:ascii="方正小标宋简体" w:hAnsi="方正小标宋简体" w:eastAsia="方正小标宋简体" w:cs="方正小标宋简体"/>
          <w:b/>
          <w:bCs/>
          <w:color w:val="auto"/>
          <w:sz w:val="44"/>
          <w:szCs w:val="44"/>
          <w:highlight w:val="green"/>
          <w:lang w:val="en-US" w:eastAsia="zh-CN"/>
        </w:rPr>
        <w:t>审核评估学生相关知识</w:t>
      </w:r>
      <w:bookmarkStart w:id="0" w:name="_GoBack"/>
      <w:bookmarkEnd w:id="0"/>
    </w:p>
    <w:p w14:paraId="270CEDF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一、为什么说审核评估是全校性的工作？</w:t>
      </w:r>
    </w:p>
    <w:p w14:paraId="1FEF7C7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审核评估不仅是对本科教育教学管理与教学过程的评价，也是对学校全员育人工作的全面评价。内容涉及学校的各个方面，需要各部门、各学院的共同努力，更需要全体教师和学生的共同努力。</w:t>
      </w:r>
    </w:p>
    <w:p w14:paraId="29A9B6D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二、我校选择的是哪一类审核评估体系？</w:t>
      </w:r>
    </w:p>
    <w:p w14:paraId="15A27E0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审核评估指标体系分为“两类四种”方案。</w:t>
      </w:r>
    </w:p>
    <w:p w14:paraId="361ACA5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我校选择的指标体系是</w:t>
      </w:r>
      <w:r>
        <w:rPr>
          <w:rFonts w:hint="eastAsia" w:ascii="仿宋_GB2312" w:hAnsi="仿宋_GB2312" w:eastAsia="仿宋_GB2312" w:cs="仿宋_GB2312"/>
          <w:b/>
          <w:bCs/>
          <w:color w:val="auto"/>
          <w:sz w:val="32"/>
          <w:szCs w:val="40"/>
          <w:lang w:val="en-US" w:eastAsia="zh-CN"/>
        </w:rPr>
        <w:t>第二类第二种</w:t>
      </w:r>
      <w:r>
        <w:rPr>
          <w:rFonts w:hint="eastAsia" w:ascii="仿宋_GB2312" w:hAnsi="仿宋_GB2312" w:eastAsia="仿宋_GB2312" w:cs="仿宋_GB2312"/>
          <w:color w:val="auto"/>
          <w:sz w:val="32"/>
          <w:szCs w:val="40"/>
          <w:lang w:val="en-US" w:eastAsia="zh-CN"/>
        </w:rPr>
        <w:t>（适用于已参加过上轮审核评估，重点以应用型人才培养为主要方向的普通本科高校）。</w:t>
      </w:r>
    </w:p>
    <w:p w14:paraId="0F6EFEF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三、新一轮审核评估对学生的意义？</w:t>
      </w:r>
    </w:p>
    <w:p w14:paraId="5281664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新一轮审核评估强调</w:t>
      </w:r>
      <w:r>
        <w:rPr>
          <w:rFonts w:hint="eastAsia" w:ascii="仿宋_GB2312" w:hAnsi="仿宋_GB2312" w:eastAsia="仿宋_GB2312" w:cs="仿宋_GB2312"/>
          <w:b/>
          <w:bCs/>
          <w:color w:val="auto"/>
          <w:sz w:val="32"/>
          <w:szCs w:val="40"/>
          <w:lang w:val="en-US" w:eastAsia="zh-CN"/>
        </w:rPr>
        <w:t>“以学生为中心”</w:t>
      </w:r>
      <w:r>
        <w:rPr>
          <w:rFonts w:hint="eastAsia" w:ascii="仿宋_GB2312" w:hAnsi="仿宋_GB2312" w:eastAsia="仿宋_GB2312" w:cs="仿宋_GB2312"/>
          <w:color w:val="auto"/>
          <w:sz w:val="32"/>
          <w:szCs w:val="40"/>
          <w:lang w:val="en-US" w:eastAsia="zh-CN"/>
        </w:rPr>
        <w:t>，充分关注了学生身心发展的需要，重视学生对教育教学工作的评价，</w:t>
      </w:r>
      <w:r>
        <w:rPr>
          <w:rFonts w:hint="eastAsia" w:ascii="仿宋_GB2312" w:hAnsi="仿宋_GB2312" w:eastAsia="仿宋_GB2312" w:cs="仿宋_GB2312"/>
          <w:b/>
          <w:bCs/>
          <w:color w:val="auto"/>
          <w:sz w:val="32"/>
          <w:szCs w:val="40"/>
          <w:lang w:val="en-US" w:eastAsia="zh-CN"/>
        </w:rPr>
        <w:t>让学生成为评估的真正受益者</w:t>
      </w:r>
      <w:r>
        <w:rPr>
          <w:rFonts w:hint="eastAsia" w:ascii="仿宋_GB2312" w:hAnsi="仿宋_GB2312" w:eastAsia="仿宋_GB2312" w:cs="仿宋_GB2312"/>
          <w:color w:val="auto"/>
          <w:sz w:val="32"/>
          <w:szCs w:val="40"/>
          <w:lang w:val="en-US" w:eastAsia="zh-CN"/>
        </w:rPr>
        <w:t>。</w:t>
      </w:r>
    </w:p>
    <w:p w14:paraId="65995FE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1、促进学校继续加大对</w:t>
      </w:r>
      <w:r>
        <w:rPr>
          <w:rFonts w:hint="eastAsia" w:ascii="仿宋_GB2312" w:hAnsi="仿宋_GB2312" w:eastAsia="仿宋_GB2312" w:cs="仿宋_GB2312"/>
          <w:b w:val="0"/>
          <w:bCs w:val="0"/>
          <w:color w:val="auto"/>
          <w:sz w:val="32"/>
          <w:szCs w:val="40"/>
          <w:lang w:val="en-US" w:eastAsia="zh-CN"/>
        </w:rPr>
        <w:t>校内设施的投入</w:t>
      </w:r>
      <w:r>
        <w:rPr>
          <w:rFonts w:hint="eastAsia" w:ascii="仿宋_GB2312" w:hAnsi="仿宋_GB2312" w:eastAsia="仿宋_GB2312" w:cs="仿宋_GB2312"/>
          <w:color w:val="auto"/>
          <w:sz w:val="32"/>
          <w:szCs w:val="40"/>
          <w:lang w:val="en-US" w:eastAsia="zh-CN"/>
        </w:rPr>
        <w:t>，改善办学条件，</w:t>
      </w:r>
      <w:r>
        <w:rPr>
          <w:rFonts w:hint="eastAsia" w:ascii="仿宋_GB2312" w:hAnsi="仿宋_GB2312" w:eastAsia="仿宋_GB2312" w:cs="仿宋_GB2312"/>
          <w:b/>
          <w:bCs/>
          <w:color w:val="auto"/>
          <w:sz w:val="32"/>
          <w:szCs w:val="40"/>
          <w:lang w:val="en-US" w:eastAsia="zh-CN"/>
        </w:rPr>
        <w:t>为在校学生营造更好的学习生活环境</w:t>
      </w:r>
      <w:r>
        <w:rPr>
          <w:rFonts w:hint="eastAsia" w:ascii="仿宋_GB2312" w:hAnsi="仿宋_GB2312" w:eastAsia="仿宋_GB2312" w:cs="仿宋_GB2312"/>
          <w:color w:val="auto"/>
          <w:sz w:val="32"/>
          <w:szCs w:val="40"/>
          <w:lang w:val="en-US" w:eastAsia="zh-CN"/>
        </w:rPr>
        <w:t>。</w:t>
      </w:r>
    </w:p>
    <w:p w14:paraId="3815F4D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2、继续加大</w:t>
      </w:r>
      <w:r>
        <w:rPr>
          <w:rFonts w:hint="eastAsia" w:ascii="仿宋_GB2312" w:hAnsi="仿宋_GB2312" w:eastAsia="仿宋_GB2312" w:cs="仿宋_GB2312"/>
          <w:b w:val="0"/>
          <w:bCs w:val="0"/>
          <w:color w:val="auto"/>
          <w:sz w:val="32"/>
          <w:szCs w:val="40"/>
          <w:lang w:val="en-US" w:eastAsia="zh-CN"/>
        </w:rPr>
        <w:t>师资力量建设</w:t>
      </w:r>
      <w:r>
        <w:rPr>
          <w:rFonts w:hint="eastAsia" w:ascii="仿宋_GB2312" w:hAnsi="仿宋_GB2312" w:eastAsia="仿宋_GB2312" w:cs="仿宋_GB2312"/>
          <w:color w:val="auto"/>
          <w:sz w:val="32"/>
          <w:szCs w:val="40"/>
          <w:lang w:val="en-US" w:eastAsia="zh-CN"/>
        </w:rPr>
        <w:t>，改善我校生师比，打造理论知识过硬，实践能力强的双师双能型教师队伍，以持续</w:t>
      </w:r>
      <w:r>
        <w:rPr>
          <w:rFonts w:hint="eastAsia" w:ascii="仿宋_GB2312" w:hAnsi="仿宋_GB2312" w:eastAsia="仿宋_GB2312" w:cs="仿宋_GB2312"/>
          <w:b/>
          <w:bCs/>
          <w:color w:val="auto"/>
          <w:sz w:val="32"/>
          <w:szCs w:val="40"/>
          <w:lang w:val="en-US" w:eastAsia="zh-CN"/>
        </w:rPr>
        <w:t>提高学生专业知识的学习能力和综合实践应用能力</w:t>
      </w:r>
      <w:r>
        <w:rPr>
          <w:rFonts w:hint="eastAsia" w:ascii="仿宋_GB2312" w:hAnsi="仿宋_GB2312" w:eastAsia="仿宋_GB2312" w:cs="仿宋_GB2312"/>
          <w:color w:val="auto"/>
          <w:sz w:val="32"/>
          <w:szCs w:val="40"/>
          <w:lang w:val="en-US" w:eastAsia="zh-CN"/>
        </w:rPr>
        <w:t>。</w:t>
      </w:r>
    </w:p>
    <w:p w14:paraId="2129804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3、加快实现“以教为中心”到“以学为中心”的转变，坚决</w:t>
      </w:r>
      <w:r>
        <w:rPr>
          <w:rFonts w:hint="eastAsia" w:ascii="仿宋_GB2312" w:hAnsi="仿宋_GB2312" w:eastAsia="仿宋_GB2312" w:cs="仿宋_GB2312"/>
          <w:b/>
          <w:bCs/>
          <w:color w:val="auto"/>
          <w:sz w:val="32"/>
          <w:szCs w:val="40"/>
          <w:lang w:val="en-US" w:eastAsia="zh-CN"/>
        </w:rPr>
        <w:t>贯彻学生中心，产出导向，持续改进的理念</w:t>
      </w:r>
      <w:r>
        <w:rPr>
          <w:rFonts w:hint="eastAsia" w:ascii="仿宋_GB2312" w:hAnsi="仿宋_GB2312" w:eastAsia="仿宋_GB2312" w:cs="仿宋_GB2312"/>
          <w:color w:val="auto"/>
          <w:sz w:val="32"/>
          <w:szCs w:val="40"/>
          <w:lang w:val="en-US" w:eastAsia="zh-CN"/>
        </w:rPr>
        <w:t>，</w:t>
      </w:r>
      <w:r>
        <w:rPr>
          <w:rFonts w:hint="eastAsia" w:ascii="仿宋_GB2312" w:hAnsi="仿宋_GB2312" w:eastAsia="仿宋_GB2312" w:cs="仿宋_GB2312"/>
          <w:b/>
          <w:bCs/>
          <w:color w:val="auto"/>
          <w:sz w:val="32"/>
          <w:szCs w:val="40"/>
          <w:lang w:val="en-US" w:eastAsia="zh-CN"/>
        </w:rPr>
        <w:t>提高学生的就业能力和就业质量</w:t>
      </w:r>
      <w:r>
        <w:rPr>
          <w:rFonts w:hint="eastAsia" w:ascii="仿宋_GB2312" w:hAnsi="仿宋_GB2312" w:eastAsia="仿宋_GB2312" w:cs="仿宋_GB2312"/>
          <w:color w:val="auto"/>
          <w:sz w:val="32"/>
          <w:szCs w:val="40"/>
          <w:lang w:val="en-US" w:eastAsia="zh-CN"/>
        </w:rPr>
        <w:t>。</w:t>
      </w:r>
    </w:p>
    <w:p w14:paraId="762DA9D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4、促进学校进一步加强</w:t>
      </w:r>
      <w:r>
        <w:rPr>
          <w:rFonts w:hint="eastAsia" w:ascii="仿宋_GB2312" w:hAnsi="仿宋_GB2312" w:eastAsia="仿宋_GB2312" w:cs="仿宋_GB2312"/>
          <w:b w:val="0"/>
          <w:bCs w:val="0"/>
          <w:color w:val="auto"/>
          <w:sz w:val="32"/>
          <w:szCs w:val="40"/>
          <w:lang w:val="en-US" w:eastAsia="zh-CN"/>
        </w:rPr>
        <w:t>教学管理，</w:t>
      </w:r>
      <w:r>
        <w:rPr>
          <w:rFonts w:hint="eastAsia" w:ascii="仿宋_GB2312" w:hAnsi="仿宋_GB2312" w:eastAsia="仿宋_GB2312" w:cs="仿宋_GB2312"/>
          <w:color w:val="auto"/>
          <w:sz w:val="32"/>
          <w:szCs w:val="40"/>
          <w:lang w:val="en-US" w:eastAsia="zh-CN"/>
        </w:rPr>
        <w:t>更加注重目标导向的全过程考核，</w:t>
      </w:r>
      <w:r>
        <w:rPr>
          <w:rFonts w:hint="eastAsia" w:ascii="仿宋_GB2312" w:hAnsi="仿宋_GB2312" w:eastAsia="仿宋_GB2312" w:cs="仿宋_GB2312"/>
          <w:b/>
          <w:bCs/>
          <w:color w:val="auto"/>
          <w:sz w:val="32"/>
          <w:szCs w:val="40"/>
          <w:lang w:val="en-US" w:eastAsia="zh-CN"/>
        </w:rPr>
        <w:t>全面考量学生的知识获得情况</w:t>
      </w:r>
      <w:r>
        <w:rPr>
          <w:rFonts w:hint="eastAsia" w:ascii="仿宋_GB2312" w:hAnsi="仿宋_GB2312" w:eastAsia="仿宋_GB2312" w:cs="仿宋_GB2312"/>
          <w:color w:val="auto"/>
          <w:sz w:val="32"/>
          <w:szCs w:val="40"/>
          <w:lang w:val="en-US" w:eastAsia="zh-CN"/>
        </w:rPr>
        <w:t>，让学习评价更具客观性、科学性。</w:t>
      </w:r>
    </w:p>
    <w:p w14:paraId="7A78FF7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5、逐步完善学校</w:t>
      </w:r>
      <w:r>
        <w:rPr>
          <w:rFonts w:hint="eastAsia" w:ascii="仿宋_GB2312" w:hAnsi="仿宋_GB2312" w:eastAsia="仿宋_GB2312" w:cs="仿宋_GB2312"/>
          <w:b w:val="0"/>
          <w:bCs w:val="0"/>
          <w:color w:val="auto"/>
          <w:sz w:val="32"/>
          <w:szCs w:val="40"/>
          <w:lang w:val="en-US" w:eastAsia="zh-CN"/>
        </w:rPr>
        <w:t>内部质量保障体系</w:t>
      </w:r>
      <w:r>
        <w:rPr>
          <w:rFonts w:hint="eastAsia" w:ascii="仿宋_GB2312" w:hAnsi="仿宋_GB2312" w:eastAsia="仿宋_GB2312" w:cs="仿宋_GB2312"/>
          <w:color w:val="auto"/>
          <w:sz w:val="32"/>
          <w:szCs w:val="40"/>
          <w:lang w:val="en-US" w:eastAsia="zh-CN"/>
        </w:rPr>
        <w:t>，形成自我约束和监控机制，</w:t>
      </w:r>
      <w:r>
        <w:rPr>
          <w:rFonts w:hint="eastAsia" w:ascii="仿宋_GB2312" w:hAnsi="仿宋_GB2312" w:eastAsia="仿宋_GB2312" w:cs="仿宋_GB2312"/>
          <w:b/>
          <w:bCs/>
          <w:color w:val="auto"/>
          <w:sz w:val="32"/>
          <w:szCs w:val="40"/>
          <w:lang w:val="en-US" w:eastAsia="zh-CN"/>
        </w:rPr>
        <w:t>为学生的毕业要求和培养目标的达成</w:t>
      </w:r>
      <w:r>
        <w:rPr>
          <w:rFonts w:hint="eastAsia" w:ascii="仿宋_GB2312" w:hAnsi="仿宋_GB2312" w:eastAsia="仿宋_GB2312" w:cs="仿宋_GB2312"/>
          <w:color w:val="auto"/>
          <w:sz w:val="32"/>
          <w:szCs w:val="40"/>
          <w:lang w:val="en-US" w:eastAsia="zh-CN"/>
        </w:rPr>
        <w:t>保驾护航。</w:t>
      </w:r>
    </w:p>
    <w:p w14:paraId="3ABE2FD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6、审视学校在</w:t>
      </w:r>
      <w:r>
        <w:rPr>
          <w:rFonts w:hint="eastAsia" w:ascii="仿宋_GB2312" w:hAnsi="仿宋_GB2312" w:eastAsia="仿宋_GB2312" w:cs="仿宋_GB2312"/>
          <w:b w:val="0"/>
          <w:bCs w:val="0"/>
          <w:color w:val="auto"/>
          <w:sz w:val="32"/>
          <w:szCs w:val="40"/>
          <w:lang w:val="en-US" w:eastAsia="zh-CN"/>
        </w:rPr>
        <w:t>智能化教学和实践中</w:t>
      </w:r>
      <w:r>
        <w:rPr>
          <w:rFonts w:hint="eastAsia" w:ascii="仿宋_GB2312" w:hAnsi="仿宋_GB2312" w:eastAsia="仿宋_GB2312" w:cs="仿宋_GB2312"/>
          <w:color w:val="auto"/>
          <w:sz w:val="32"/>
          <w:szCs w:val="40"/>
          <w:lang w:val="en-US" w:eastAsia="zh-CN"/>
        </w:rPr>
        <w:t>的不足，进一步完善课程资源库、应用型教材建设、“互联网＋”课程教学需要的智能、智慧教学设施的建设，</w:t>
      </w:r>
      <w:r>
        <w:rPr>
          <w:rFonts w:hint="eastAsia" w:ascii="仿宋_GB2312" w:hAnsi="仿宋_GB2312" w:eastAsia="仿宋_GB2312" w:cs="仿宋_GB2312"/>
          <w:b/>
          <w:bCs/>
          <w:color w:val="auto"/>
          <w:sz w:val="32"/>
          <w:szCs w:val="40"/>
          <w:lang w:val="en-US" w:eastAsia="zh-CN"/>
        </w:rPr>
        <w:t>为学生提供网络化、智能化的学习实践环境</w:t>
      </w:r>
      <w:r>
        <w:rPr>
          <w:rFonts w:hint="eastAsia" w:ascii="仿宋_GB2312" w:hAnsi="仿宋_GB2312" w:eastAsia="仿宋_GB2312" w:cs="仿宋_GB2312"/>
          <w:color w:val="auto"/>
          <w:sz w:val="32"/>
          <w:szCs w:val="40"/>
          <w:lang w:val="en-US" w:eastAsia="zh-CN"/>
        </w:rPr>
        <w:t>，提升学习效率和实践能力。</w:t>
      </w:r>
    </w:p>
    <w:p w14:paraId="5AEDDCC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7、提高学校的</w:t>
      </w:r>
      <w:r>
        <w:rPr>
          <w:rFonts w:hint="eastAsia" w:ascii="仿宋_GB2312" w:hAnsi="仿宋_GB2312" w:eastAsia="仿宋_GB2312" w:cs="仿宋_GB2312"/>
          <w:b w:val="0"/>
          <w:bCs w:val="0"/>
          <w:color w:val="auto"/>
          <w:sz w:val="32"/>
          <w:szCs w:val="40"/>
          <w:lang w:val="en-US" w:eastAsia="zh-CN"/>
        </w:rPr>
        <w:t>社会形象和地位</w:t>
      </w:r>
      <w:r>
        <w:rPr>
          <w:rFonts w:hint="eastAsia" w:ascii="仿宋_GB2312" w:hAnsi="仿宋_GB2312" w:eastAsia="仿宋_GB2312" w:cs="仿宋_GB2312"/>
          <w:color w:val="auto"/>
          <w:sz w:val="32"/>
          <w:szCs w:val="40"/>
          <w:lang w:val="en-US" w:eastAsia="zh-CN"/>
        </w:rPr>
        <w:t>，</w:t>
      </w:r>
      <w:r>
        <w:rPr>
          <w:rFonts w:hint="eastAsia" w:ascii="仿宋_GB2312" w:hAnsi="仿宋_GB2312" w:eastAsia="仿宋_GB2312" w:cs="仿宋_GB2312"/>
          <w:b/>
          <w:bCs/>
          <w:color w:val="auto"/>
          <w:sz w:val="32"/>
          <w:szCs w:val="40"/>
          <w:lang w:val="en-US" w:eastAsia="zh-CN"/>
        </w:rPr>
        <w:t>吸引更加优秀的生源就读，吸引更多用人单位前来招聘</w:t>
      </w:r>
      <w:r>
        <w:rPr>
          <w:rFonts w:hint="eastAsia" w:ascii="仿宋_GB2312" w:hAnsi="仿宋_GB2312" w:eastAsia="仿宋_GB2312" w:cs="仿宋_GB2312"/>
          <w:color w:val="auto"/>
          <w:sz w:val="32"/>
          <w:szCs w:val="40"/>
          <w:lang w:val="en-US" w:eastAsia="zh-CN"/>
        </w:rPr>
        <w:t>，创造更多的招生优势、就业机会和就业层次。</w:t>
      </w:r>
    </w:p>
    <w:p w14:paraId="30B9DB4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四、新一轮审核评估学生如何做？</w:t>
      </w:r>
    </w:p>
    <w:p w14:paraId="7F1720D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w:t>
      </w:r>
      <w:r>
        <w:rPr>
          <w:rFonts w:hint="eastAsia" w:ascii="仿宋_GB2312" w:hAnsi="仿宋_GB2312" w:eastAsia="仿宋_GB2312" w:cs="仿宋_GB2312"/>
          <w:b/>
          <w:bCs/>
          <w:color w:val="auto"/>
          <w:sz w:val="32"/>
          <w:szCs w:val="40"/>
          <w:lang w:val="en-US" w:eastAsia="zh-CN"/>
        </w:rPr>
        <w:t>了解熟悉评估常识和校史校情</w:t>
      </w:r>
      <w:r>
        <w:rPr>
          <w:rFonts w:hint="eastAsia" w:ascii="仿宋_GB2312" w:hAnsi="仿宋_GB2312" w:eastAsia="仿宋_GB2312" w:cs="仿宋_GB2312"/>
          <w:color w:val="auto"/>
          <w:sz w:val="32"/>
          <w:szCs w:val="40"/>
          <w:lang w:val="en-US" w:eastAsia="zh-CN"/>
        </w:rPr>
        <w:t>，充分认识审核评估的重要意义，认识到自己是评估的最大受益者，努力学习本手册，</w:t>
      </w:r>
      <w:r>
        <w:rPr>
          <w:rFonts w:hint="eastAsia" w:ascii="仿宋_GB2312" w:hAnsi="仿宋_GB2312" w:eastAsia="仿宋_GB2312" w:cs="仿宋_GB2312"/>
          <w:b/>
          <w:bCs/>
          <w:color w:val="auto"/>
          <w:sz w:val="32"/>
          <w:szCs w:val="40"/>
          <w:lang w:val="en-US" w:eastAsia="zh-CN"/>
        </w:rPr>
        <w:t>以主人翁的姿态积极参与学校的各项评建活动</w:t>
      </w:r>
      <w:r>
        <w:rPr>
          <w:rFonts w:hint="eastAsia" w:ascii="仿宋_GB2312" w:hAnsi="仿宋_GB2312" w:eastAsia="仿宋_GB2312" w:cs="仿宋_GB2312"/>
          <w:color w:val="auto"/>
          <w:sz w:val="32"/>
          <w:szCs w:val="40"/>
          <w:lang w:val="en-US" w:eastAsia="zh-CN"/>
        </w:rPr>
        <w:t>，努力展示良好风采。</w:t>
      </w:r>
    </w:p>
    <w:p w14:paraId="5E10F55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bCs/>
          <w:color w:val="auto"/>
          <w:sz w:val="32"/>
          <w:szCs w:val="40"/>
          <w:lang w:val="en-US" w:eastAsia="zh-CN"/>
        </w:rPr>
      </w:pPr>
      <w:r>
        <w:rPr>
          <w:rFonts w:hint="eastAsia" w:ascii="仿宋_GB2312" w:hAnsi="仿宋_GB2312" w:eastAsia="仿宋_GB2312" w:cs="仿宋_GB2312"/>
          <w:color w:val="auto"/>
          <w:sz w:val="32"/>
          <w:szCs w:val="40"/>
          <w:lang w:val="en-US" w:eastAsia="zh-CN"/>
        </w:rPr>
        <w:t>2、对学校有高度的认同感，</w:t>
      </w:r>
      <w:r>
        <w:rPr>
          <w:rFonts w:hint="eastAsia" w:ascii="仿宋_GB2312" w:hAnsi="仿宋_GB2312" w:eastAsia="仿宋_GB2312" w:cs="仿宋_GB2312"/>
          <w:b/>
          <w:bCs/>
          <w:color w:val="auto"/>
          <w:sz w:val="32"/>
          <w:szCs w:val="40"/>
          <w:lang w:val="en-US" w:eastAsia="zh-CN"/>
        </w:rPr>
        <w:t>熟悉所学专业的培养方案、专业培养目标等。</w:t>
      </w:r>
    </w:p>
    <w:p w14:paraId="6B56616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3、</w:t>
      </w:r>
      <w:r>
        <w:rPr>
          <w:rFonts w:hint="eastAsia" w:ascii="仿宋_GB2312" w:hAnsi="仿宋_GB2312" w:eastAsia="仿宋_GB2312" w:cs="仿宋_GB2312"/>
          <w:b/>
          <w:bCs/>
          <w:color w:val="auto"/>
          <w:sz w:val="32"/>
          <w:szCs w:val="40"/>
          <w:lang w:val="en-US" w:eastAsia="zh-CN"/>
        </w:rPr>
        <w:t>上课状况优良</w:t>
      </w:r>
      <w:r>
        <w:rPr>
          <w:rFonts w:hint="eastAsia" w:ascii="仿宋_GB2312" w:hAnsi="仿宋_GB2312" w:eastAsia="仿宋_GB2312" w:cs="仿宋_GB2312"/>
          <w:color w:val="auto"/>
          <w:sz w:val="32"/>
          <w:szCs w:val="40"/>
          <w:lang w:val="en-US" w:eastAsia="zh-CN"/>
        </w:rPr>
        <w:t>。严格遵守学习纪律，准时上课，无迟到、早退和旷课现象；上课认真听讲，做好笔记，杜绝随意说话、吃东西、打瞌睡、玩手机等行为；上下课应与老师互致问候。下课时，要请听课的专家先离开教室。</w:t>
      </w:r>
    </w:p>
    <w:p w14:paraId="5DDBB2F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4、</w:t>
      </w:r>
      <w:r>
        <w:rPr>
          <w:rFonts w:hint="eastAsia" w:ascii="仿宋_GB2312" w:hAnsi="仿宋_GB2312" w:eastAsia="仿宋_GB2312" w:cs="仿宋_GB2312"/>
          <w:b/>
          <w:bCs/>
          <w:color w:val="auto"/>
          <w:sz w:val="32"/>
          <w:szCs w:val="40"/>
          <w:lang w:val="en-US" w:eastAsia="zh-CN"/>
        </w:rPr>
        <w:t>自习情况良好。</w:t>
      </w:r>
      <w:r>
        <w:rPr>
          <w:rFonts w:hint="eastAsia" w:ascii="仿宋_GB2312" w:hAnsi="仿宋_GB2312" w:eastAsia="仿宋_GB2312" w:cs="仿宋_GB2312"/>
          <w:color w:val="auto"/>
          <w:sz w:val="32"/>
          <w:szCs w:val="40"/>
          <w:lang w:val="en-US" w:eastAsia="zh-CN"/>
        </w:rPr>
        <w:t>无课的同学主动到无课教室、图书馆、实验室等，自觉完成作业，以及其他课外学习任务。</w:t>
      </w:r>
    </w:p>
    <w:p w14:paraId="0186106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5、</w:t>
      </w:r>
      <w:r>
        <w:rPr>
          <w:rFonts w:hint="eastAsia" w:ascii="仿宋_GB2312" w:hAnsi="仿宋_GB2312" w:eastAsia="仿宋_GB2312" w:cs="仿宋_GB2312"/>
          <w:b/>
          <w:bCs/>
          <w:color w:val="auto"/>
          <w:sz w:val="32"/>
          <w:szCs w:val="40"/>
          <w:lang w:val="en-US" w:eastAsia="zh-CN"/>
        </w:rPr>
        <w:t>行为文明、形象端庄</w:t>
      </w:r>
      <w:r>
        <w:rPr>
          <w:rFonts w:hint="eastAsia" w:ascii="仿宋_GB2312" w:hAnsi="仿宋_GB2312" w:eastAsia="仿宋_GB2312" w:cs="仿宋_GB2312"/>
          <w:color w:val="auto"/>
          <w:sz w:val="32"/>
          <w:szCs w:val="40"/>
          <w:lang w:val="en-US" w:eastAsia="zh-CN"/>
        </w:rPr>
        <w:t>。在校园内要举止文明，穿着大方得体；男女交往文明、有度、举止文雅；学习场所无抽烟、乱扔垃圾、大声喧哗、打闹等行为；出入教室、上下楼梯或电梯要文明礼让；就餐自觉排队，无铺张浪费现象。</w:t>
      </w:r>
    </w:p>
    <w:p w14:paraId="5B94E21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6、</w:t>
      </w:r>
      <w:r>
        <w:rPr>
          <w:rFonts w:hint="eastAsia" w:ascii="仿宋_GB2312" w:hAnsi="仿宋_GB2312" w:eastAsia="仿宋_GB2312" w:cs="仿宋_GB2312"/>
          <w:b/>
          <w:bCs/>
          <w:color w:val="auto"/>
          <w:sz w:val="32"/>
          <w:szCs w:val="40"/>
          <w:lang w:val="en-US" w:eastAsia="zh-CN"/>
        </w:rPr>
        <w:t>了解和专家接触的各种方式。</w:t>
      </w:r>
      <w:r>
        <w:rPr>
          <w:rFonts w:hint="eastAsia" w:ascii="仿宋_GB2312" w:hAnsi="仿宋_GB2312" w:eastAsia="仿宋_GB2312" w:cs="仿宋_GB2312"/>
          <w:color w:val="auto"/>
          <w:sz w:val="32"/>
          <w:szCs w:val="40"/>
          <w:lang w:val="en-US" w:eastAsia="zh-CN"/>
        </w:rPr>
        <w:t>通过宣讲和学习指导，学生对专家进校听课、座谈、就餐、走访宿舍、随机交流等要有充足的准备。</w:t>
      </w:r>
      <w:r>
        <w:rPr>
          <w:rFonts w:hint="eastAsia" w:ascii="仿宋_GB2312" w:hAnsi="仿宋_GB2312" w:eastAsia="仿宋_GB2312" w:cs="仿宋_GB2312"/>
          <w:b/>
          <w:bCs/>
          <w:color w:val="auto"/>
          <w:sz w:val="32"/>
          <w:szCs w:val="40"/>
          <w:lang w:val="en-US" w:eastAsia="zh-CN"/>
        </w:rPr>
        <w:t>在校园内遇见专家时要主动问好、文明礼让</w:t>
      </w:r>
      <w:r>
        <w:rPr>
          <w:rFonts w:hint="eastAsia" w:ascii="仿宋_GB2312" w:hAnsi="仿宋_GB2312" w:eastAsia="仿宋_GB2312" w:cs="仿宋_GB2312"/>
          <w:color w:val="auto"/>
          <w:sz w:val="32"/>
          <w:szCs w:val="40"/>
          <w:lang w:val="en-US" w:eastAsia="zh-CN"/>
        </w:rPr>
        <w:t>。专家在课堂、食堂、宿舍、图书馆等场合询问时要积极作答，参加座谈会时要积极发言。</w:t>
      </w:r>
    </w:p>
    <w:p w14:paraId="6B04CAD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7、</w:t>
      </w:r>
      <w:r>
        <w:rPr>
          <w:rFonts w:hint="eastAsia" w:ascii="仿宋_GB2312" w:hAnsi="仿宋_GB2312" w:eastAsia="仿宋_GB2312" w:cs="仿宋_GB2312"/>
          <w:b/>
          <w:bCs/>
          <w:color w:val="auto"/>
          <w:sz w:val="32"/>
          <w:szCs w:val="40"/>
          <w:lang w:val="en-US" w:eastAsia="zh-CN"/>
        </w:rPr>
        <w:t>对专家的提问，应对不慌张。</w:t>
      </w:r>
      <w:r>
        <w:rPr>
          <w:rFonts w:hint="eastAsia" w:ascii="仿宋_GB2312" w:hAnsi="仿宋_GB2312" w:eastAsia="仿宋_GB2312" w:cs="仿宋_GB2312"/>
          <w:color w:val="auto"/>
          <w:sz w:val="32"/>
          <w:szCs w:val="40"/>
          <w:lang w:val="en-US" w:eastAsia="zh-CN"/>
        </w:rPr>
        <w:t>回答问题能结合学校和自身特点，有思想、深度和内涵，对于学校的特色、亮点、优势正面宣扬；对于不足要从学校发展大局出发来回答，回答问题要从建设性意见和加强提高的角度入手，保持客观与理性。</w:t>
      </w:r>
    </w:p>
    <w:p w14:paraId="3C80195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8、</w:t>
      </w:r>
      <w:r>
        <w:rPr>
          <w:rFonts w:hint="eastAsia" w:ascii="仿宋_GB2312" w:hAnsi="仿宋_GB2312" w:eastAsia="仿宋_GB2312" w:cs="仿宋_GB2312"/>
          <w:b/>
          <w:bCs/>
          <w:color w:val="auto"/>
          <w:sz w:val="32"/>
          <w:szCs w:val="40"/>
          <w:lang w:val="en-US" w:eastAsia="zh-CN"/>
        </w:rPr>
        <w:t>努力打造“五育宿舍”</w:t>
      </w:r>
      <w:r>
        <w:rPr>
          <w:rFonts w:hint="eastAsia" w:ascii="仿宋_GB2312" w:hAnsi="仿宋_GB2312" w:eastAsia="仿宋_GB2312" w:cs="仿宋_GB2312"/>
          <w:color w:val="auto"/>
          <w:sz w:val="32"/>
          <w:szCs w:val="40"/>
          <w:lang w:val="en-US" w:eastAsia="zh-CN"/>
        </w:rPr>
        <w:t>,做到宿舍文明卫生、无杂物堆积、被服叠放整齐等。</w:t>
      </w:r>
    </w:p>
    <w:p w14:paraId="3189C6B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9、随时准备好参加</w:t>
      </w:r>
      <w:r>
        <w:rPr>
          <w:rFonts w:hint="eastAsia" w:ascii="仿宋_GB2312" w:hAnsi="仿宋_GB2312" w:eastAsia="仿宋_GB2312" w:cs="仿宋_GB2312"/>
          <w:b/>
          <w:bCs/>
          <w:color w:val="auto"/>
          <w:sz w:val="32"/>
          <w:szCs w:val="40"/>
          <w:lang w:val="en-US" w:eastAsia="zh-CN"/>
        </w:rPr>
        <w:t>专家主持的问卷调查或座谈会</w:t>
      </w:r>
      <w:r>
        <w:rPr>
          <w:rFonts w:hint="eastAsia" w:ascii="仿宋_GB2312" w:hAnsi="仿宋_GB2312" w:eastAsia="仿宋_GB2312" w:cs="仿宋_GB2312"/>
          <w:color w:val="auto"/>
          <w:sz w:val="32"/>
          <w:szCs w:val="40"/>
          <w:lang w:val="en-US" w:eastAsia="zh-CN"/>
        </w:rPr>
        <w:t>，配合学校和学院圆满完成本次审核评估工作。</w:t>
      </w:r>
    </w:p>
    <w:p w14:paraId="6E4E674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b w:val="0"/>
          <w:bCs w:val="0"/>
          <w:color w:val="auto"/>
          <w:sz w:val="32"/>
          <w:szCs w:val="40"/>
          <w:lang w:val="en-US" w:eastAsia="zh-CN"/>
        </w:rPr>
        <w:t>五、学生座谈或访谈中专家可能关注的情况</w:t>
      </w:r>
    </w:p>
    <w:p w14:paraId="474F8E7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1、学生对评估知识的了解情况。</w:t>
      </w:r>
    </w:p>
    <w:p w14:paraId="385ABBF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2、学生的学习、生活、课外文化活动等情况。</w:t>
      </w:r>
    </w:p>
    <w:p w14:paraId="0A385F3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3、教室、图书馆、网络等学习条件方面的情况。</w:t>
      </w:r>
    </w:p>
    <w:p w14:paraId="6A0D16C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4、学生对教学管理、学生管理、办学条件等方面的评价。</w:t>
      </w:r>
    </w:p>
    <w:p w14:paraId="1109235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5、学生对所学专业培养方案中培养目标、毕业要求的了解情况。</w:t>
      </w:r>
    </w:p>
    <w:p w14:paraId="17F8EE29">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黑体" w:hAnsi="黑体" w:eastAsia="黑体" w:cs="黑体"/>
          <w:b/>
          <w:bCs/>
          <w:color w:val="auto"/>
          <w:sz w:val="32"/>
          <w:szCs w:val="40"/>
          <w:lang w:val="en-US" w:eastAsia="zh-CN"/>
        </w:rPr>
      </w:pPr>
      <w:r>
        <w:rPr>
          <w:rFonts w:hint="eastAsia" w:ascii="黑体" w:hAnsi="黑体" w:eastAsia="黑体" w:cs="黑体"/>
          <w:b/>
          <w:bCs/>
          <w:color w:val="auto"/>
          <w:sz w:val="32"/>
          <w:szCs w:val="40"/>
          <w:lang w:val="en-US" w:eastAsia="zh-CN"/>
        </w:rPr>
        <w:t>六、学生可能需要了解并回答的问题</w:t>
      </w:r>
    </w:p>
    <w:p w14:paraId="510B3A7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1、你所学专业是什么？</w:t>
      </w:r>
    </w:p>
    <w:p w14:paraId="6DF9377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2、你是否了解以及通过何种途径了解所学专业的培养目标、毕业要求和培养方案？</w:t>
      </w:r>
    </w:p>
    <w:p w14:paraId="4E0D4A0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3、你入学后是否有教师对专业培养方案进行过介绍？</w:t>
      </w:r>
    </w:p>
    <w:p w14:paraId="08553F1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4、你已学过的专业课有哪些？专业必修课和专业选修课有哪些？你对专业课程和通识课程的设置安排是否满意？</w:t>
      </w:r>
    </w:p>
    <w:p w14:paraId="01CD2C7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5、你对课程教材的选用是否满意？</w:t>
      </w:r>
    </w:p>
    <w:p w14:paraId="7757625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6、你认为学校的学习氛围如何？</w:t>
      </w:r>
    </w:p>
    <w:p w14:paraId="42FE327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7、你所学课程的考试形式主要有哪些？</w:t>
      </w:r>
    </w:p>
    <w:p w14:paraId="32D35CC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8、教师是否在讲课之前让学生清楚知道课程的教学进度、教学大纲及基本要求？</w:t>
      </w:r>
    </w:p>
    <w:p w14:paraId="04BDCC1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9、你觉得教师运用信息化手段开展教学的水平如何？</w:t>
      </w:r>
    </w:p>
    <w:p w14:paraId="534381E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10、你觉得教师的教学水平和实践经验如何？</w:t>
      </w:r>
    </w:p>
    <w:p w14:paraId="43F2041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11、你觉得教师的职业道德水平如何？</w:t>
      </w:r>
    </w:p>
    <w:p w14:paraId="3BEFF61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12、你对实践教学的内容和安排是否满意？通过实践教学环节，你认为能否加深对理论的理解？你最喜欢的、收获最大的教学形式是什么？</w:t>
      </w:r>
    </w:p>
    <w:p w14:paraId="45DBC90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13、你是否参加过学校（学院）组织的社会调查或科技文化活动？</w:t>
      </w:r>
    </w:p>
    <w:p w14:paraId="01668D9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14、你觉得学校教室、实验室、实训室、图书馆、电子阅览室、运动场馆及体育设施的开放与使用情况如何？</w:t>
      </w:r>
    </w:p>
    <w:p w14:paraId="43A563E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15、你觉得学校的食堂和学生宿舍条件如何？</w:t>
      </w:r>
    </w:p>
    <w:p w14:paraId="425B7AE4">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16、你在加强理想信念、品德修养方面接受过哪些教育？</w:t>
      </w:r>
    </w:p>
    <w:p w14:paraId="2E0AE94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17、谈谈你的理想信念，你是如何树立理想信念的？</w:t>
      </w:r>
    </w:p>
    <w:p w14:paraId="414C85C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18、在体育、美育及劳动教育方面，你修读过哪些课程或参加过哪些活动？</w:t>
      </w:r>
    </w:p>
    <w:p w14:paraId="2B1F663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19、你觉得学校的校园网和网络教学资源情况如何？学校的主页知道吗？</w:t>
      </w:r>
    </w:p>
    <w:p w14:paraId="03D2740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20、你对学校的教学、管理、服务及师资水平是否满意？</w:t>
      </w:r>
    </w:p>
    <w:p w14:paraId="01CD2B3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21、你对教学质量的总体满意程度如何？</w:t>
      </w:r>
    </w:p>
    <w:p w14:paraId="248711F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22、你们的学习负担情况如何？有多少课余活动时间？主要开展哪些活动？</w:t>
      </w:r>
    </w:p>
    <w:p w14:paraId="056B20F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23、学校的学生教育管理与服务机构有哪些？</w:t>
      </w:r>
    </w:p>
    <w:p w14:paraId="00A0F1E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24、学校有没有设学生就业指导服务中心？</w:t>
      </w:r>
    </w:p>
    <w:p w14:paraId="0AB275D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25、学校有没有设学生心理咨询室？</w:t>
      </w:r>
    </w:p>
    <w:p w14:paraId="51314C5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26、学校的奖助学金是如何组织实施的？</w:t>
      </w:r>
    </w:p>
    <w:p w14:paraId="0248B0B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27、你对学校的教育教学工作有何建议？</w:t>
      </w:r>
    </w:p>
    <w:p w14:paraId="7661BC8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p>
    <w:p w14:paraId="7B8A583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p>
    <w:p w14:paraId="00D6AED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p>
    <w:p w14:paraId="55BD424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p>
    <w:p w14:paraId="0BD3CEA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p>
    <w:p w14:paraId="23F9BC1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p>
    <w:p w14:paraId="3CB5F72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p>
    <w:p w14:paraId="6B3A03B5">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简体" w:hAnsi="方正小标宋简体" w:eastAsia="方正小标宋简体" w:cs="方正小标宋简体"/>
          <w:color w:val="auto"/>
          <w:sz w:val="44"/>
          <w:szCs w:val="44"/>
          <w:highlight w:val="green"/>
          <w:lang w:val="en-US" w:eastAsia="zh-CN"/>
        </w:rPr>
      </w:pPr>
      <w:r>
        <w:rPr>
          <w:rFonts w:hint="eastAsia" w:ascii="方正小标宋简体" w:hAnsi="方正小标宋简体" w:eastAsia="方正小标宋简体" w:cs="方正小标宋简体"/>
          <w:color w:val="auto"/>
          <w:sz w:val="44"/>
          <w:szCs w:val="44"/>
          <w:highlight w:val="green"/>
          <w:lang w:val="en-US" w:eastAsia="zh-CN"/>
        </w:rPr>
        <w:t>热词释义</w:t>
      </w:r>
    </w:p>
    <w:p w14:paraId="783A0A8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一、新一轮审核评估的16字方针是什么？</w:t>
      </w:r>
    </w:p>
    <w:p w14:paraId="1F6FA78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以评促建，以评促改，以评促管，以评促强。</w:t>
      </w:r>
    </w:p>
    <w:p w14:paraId="2E9E86B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highlight w:val="yellow"/>
          <w:lang w:val="en-US" w:eastAsia="zh-CN"/>
        </w:rPr>
      </w:pPr>
      <w:r>
        <w:rPr>
          <w:rFonts w:hint="eastAsia" w:ascii="黑体" w:hAnsi="黑体" w:eastAsia="黑体" w:cs="黑体"/>
          <w:color w:val="auto"/>
          <w:sz w:val="32"/>
          <w:szCs w:val="40"/>
          <w:highlight w:val="yellow"/>
          <w:lang w:val="en-US" w:eastAsia="zh-CN"/>
        </w:rPr>
        <w:t>二、新一轮审核评估中的“1+3+3”报告是什么？</w:t>
      </w:r>
    </w:p>
    <w:p w14:paraId="6AC21E7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1：参评高校形成《自评报告》</w:t>
      </w:r>
    </w:p>
    <w:p w14:paraId="38B6756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3：教育部教育质量评估中心提供《本科教学状态数据分析报告》《在校生学习体验调查报告》《教师教学体验调查报告》3份过程性报告；</w:t>
      </w:r>
    </w:p>
    <w:p w14:paraId="22E3013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3：教育部学生服务与素质发展中心提供《本科生就业数据分析报告》《本科毕业生跟踪调查报告》《用人单位跟踪调查报告》3份结果性报告。</w:t>
      </w:r>
    </w:p>
    <w:p w14:paraId="61A9254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三、立德树人</w:t>
      </w:r>
    </w:p>
    <w:p w14:paraId="4BD9F66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立德树人是教育的根本任务，是对新时代“培养什么人”“怎样培养人”“为谁培养人”的积极回应。</w:t>
      </w:r>
    </w:p>
    <w:p w14:paraId="7596100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四、 以本为本</w:t>
      </w:r>
    </w:p>
    <w:p w14:paraId="0E7C83E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本科教育是大学的根和本。要把本科教育放在人才培养的核心地位、教育教学的基础地位、新时代教育发展的前沿地位。</w:t>
      </w:r>
    </w:p>
    <w:p w14:paraId="69ADFAC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五、 四个回归</w:t>
      </w:r>
    </w:p>
    <w:p w14:paraId="0F500C7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四个回归是指教育部建设高水平本科教育和人才培养质量提出的要求。</w:t>
      </w:r>
    </w:p>
    <w:p w14:paraId="2C30E20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回归常识——学生要刻苦读书学习；</w:t>
      </w:r>
    </w:p>
    <w:p w14:paraId="22EE89F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回归本分——教师要潜心教书育人；</w:t>
      </w:r>
    </w:p>
    <w:p w14:paraId="104EBDC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回归初心——高等学校要倾心培养建设者和接班人；</w:t>
      </w:r>
    </w:p>
    <w:p w14:paraId="415301F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回归梦想——高等教育要倾力实现教育报国、教育强国梦。</w:t>
      </w:r>
    </w:p>
    <w:p w14:paraId="48DF2A4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六、三全育人</w:t>
      </w:r>
    </w:p>
    <w:p w14:paraId="0224F7F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三全育人是指全员育人、全程育人、全方位育人。</w:t>
      </w:r>
    </w:p>
    <w:p w14:paraId="2E89146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七、 五育并举</w:t>
      </w:r>
    </w:p>
    <w:p w14:paraId="4C0EDB3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德智体美劳全面发展。</w:t>
      </w:r>
    </w:p>
    <w:p w14:paraId="28C5FBC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八、“四新”建设</w:t>
      </w:r>
    </w:p>
    <w:p w14:paraId="459D0AB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新工科、新医科、新农科和新文科建设。</w:t>
      </w:r>
    </w:p>
    <w:p w14:paraId="6FDF56D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九、 OBE 理念</w:t>
      </w:r>
    </w:p>
    <w:p w14:paraId="0BAF1A5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OBE（Outcome-Based Education）即成果导向教育，也称为能力导向教育、目标导向教育或需求导向教育，它是一种以学生为中心的先进的教育理念，强调学生的能力及其水平是评价教育质量的根本依据，教育教学活动的组织和实施要始终围绕实现预期的学习成果或结果来进行。核心内容包含：成果导向、反向设计、学生为本、因材施教、多元评价及持续改进。</w:t>
      </w:r>
    </w:p>
    <w:p w14:paraId="7E1ADA8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十、“四有”好老师</w:t>
      </w:r>
    </w:p>
    <w:p w14:paraId="1D5307DD">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有理想信念、有道德情操、有扎实学识、有仁爱之心。</w:t>
      </w:r>
    </w:p>
    <w:p w14:paraId="1946298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十一、四个引路人</w:t>
      </w:r>
    </w:p>
    <w:p w14:paraId="51BF7BF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做学生锤炼品格的引路人，做学生学习知识的引路人，做学生创新思维的引路人，做学生奉献祖国的引路人。</w:t>
      </w:r>
    </w:p>
    <w:p w14:paraId="3F8C05A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十二、四个相统一</w:t>
      </w:r>
    </w:p>
    <w:p w14:paraId="75D0E99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坚持教书和育人相统一、坚持言传和身教相统一、坚持潜心问道和关注社会相统一、坚持学术自由和学术规范相统一。</w:t>
      </w:r>
    </w:p>
    <w:p w14:paraId="04F95A76">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十三、“四史”教育</w:t>
      </w:r>
    </w:p>
    <w:p w14:paraId="768FE13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“四史”教育是党史、新中国史、改革开放史和社会主义发展史教育的统称。</w:t>
      </w:r>
    </w:p>
    <w:p w14:paraId="36AD7D9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十四、“马工程教材”</w:t>
      </w:r>
    </w:p>
    <w:p w14:paraId="59C8D50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马克思主义理论研究和建设工程重点教材（简称“马工程教材”），覆盖高校思想政治理论课和马克思主义理论、哲学、政治学、法学、社会学、经济学、文学、历史学、新闻学、教育学、管理学、艺术学等哲学社会科学专业和相关课程。学校应确保实现马工程重点教材课程覆盖率 100%和马工程重点教材使用率 100%。</w:t>
      </w:r>
    </w:p>
    <w:p w14:paraId="035015D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十五、国家级五大金课</w:t>
      </w:r>
    </w:p>
    <w:p w14:paraId="2FED93F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指线上一流课程、线下一流课程、线上线下混合式一流课程、虚拟仿真实验教学一流课程、社会实践一流课程。</w:t>
      </w:r>
    </w:p>
    <w:p w14:paraId="02B0408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十六、两性一度</w:t>
      </w:r>
    </w:p>
    <w:p w14:paraId="2C6EEF9C">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两性一度是指高阶性、创新性、挑战度。</w:t>
      </w:r>
    </w:p>
    <w:p w14:paraId="0FA8FAD5">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高阶性</w:t>
      </w:r>
      <w:r>
        <w:rPr>
          <w:rFonts w:hint="eastAsia" w:ascii="仿宋_GB2312" w:hAnsi="仿宋_GB2312" w:eastAsia="仿宋_GB2312" w:cs="仿宋_GB2312"/>
          <w:color w:val="auto"/>
          <w:sz w:val="32"/>
          <w:szCs w:val="40"/>
          <w:lang w:val="en-US" w:eastAsia="zh-CN"/>
        </w:rPr>
        <w:t>：指知识、能力、素质的有机融合，培养学生解决复杂问题的综合能力和高级思维。</w:t>
      </w:r>
    </w:p>
    <w:p w14:paraId="0F5FB143">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创新性</w:t>
      </w:r>
      <w:r>
        <w:rPr>
          <w:rFonts w:hint="eastAsia" w:ascii="仿宋_GB2312" w:hAnsi="仿宋_GB2312" w:eastAsia="仿宋_GB2312" w:cs="仿宋_GB2312"/>
          <w:color w:val="auto"/>
          <w:sz w:val="32"/>
          <w:szCs w:val="40"/>
          <w:lang w:val="en-US" w:eastAsia="zh-CN"/>
        </w:rPr>
        <w:t>：指课程内容反映前沿性和时代性，教学形式体现先进性和互动性，学习结果具有探究性和个性化，注重培养学生的探究精神和个性化发展。</w:t>
      </w:r>
    </w:p>
    <w:p w14:paraId="1C3AAB0E">
      <w:pPr>
        <w:keepNext w:val="0"/>
        <w:keepLines w:val="0"/>
        <w:pageBreakBefore w:val="0"/>
        <w:widowControl w:val="0"/>
        <w:kinsoku/>
        <w:wordWrap/>
        <w:overflowPunct/>
        <w:topLinePunct w:val="0"/>
        <w:autoSpaceDE/>
        <w:autoSpaceDN/>
        <w:bidi w:val="0"/>
        <w:adjustRightInd/>
        <w:snapToGrid/>
        <w:spacing w:line="560" w:lineRule="exact"/>
        <w:ind w:firstLine="643"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b/>
          <w:bCs/>
          <w:color w:val="auto"/>
          <w:sz w:val="32"/>
          <w:szCs w:val="40"/>
          <w:lang w:val="en-US" w:eastAsia="zh-CN"/>
        </w:rPr>
        <w:t>挑战度</w:t>
      </w:r>
      <w:r>
        <w:rPr>
          <w:rFonts w:hint="eastAsia" w:ascii="仿宋_GB2312" w:hAnsi="仿宋_GB2312" w:eastAsia="仿宋_GB2312" w:cs="仿宋_GB2312"/>
          <w:color w:val="auto"/>
          <w:sz w:val="32"/>
          <w:szCs w:val="40"/>
          <w:lang w:val="en-US" w:eastAsia="zh-CN"/>
        </w:rPr>
        <w:t>：指课程需要有一定难度，需要学生和老师一起努力才能达到教学目标。要求教师认真备课、讲课，学生课上课下要投入较多的学习时间和思考。</w:t>
      </w:r>
    </w:p>
    <w:p w14:paraId="5D7AB10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420" w:leftChars="0" w:firstLine="320" w:firstLineChars="1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color w:val="auto"/>
          <w:sz w:val="32"/>
          <w:szCs w:val="40"/>
          <w:lang w:val="en-US" w:eastAsia="zh-CN"/>
        </w:rPr>
        <w:t>十七、</w:t>
      </w:r>
      <w:r>
        <w:rPr>
          <w:rFonts w:hint="eastAsia" w:ascii="黑体" w:hAnsi="黑体" w:eastAsia="黑体" w:cs="黑体"/>
          <w:b w:val="0"/>
          <w:bCs w:val="0"/>
          <w:color w:val="auto"/>
          <w:sz w:val="32"/>
          <w:szCs w:val="40"/>
          <w:lang w:val="en-US" w:eastAsia="zh-CN"/>
        </w:rPr>
        <w:t>五个度</w:t>
      </w:r>
    </w:p>
    <w:p w14:paraId="054D6FD0">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本科教育教学审核评估以“五个度（达成度、适应度、保障度、有效度、满意度）”作为质量标准，即人才培养目标与培养效果的达成度、办学定位和人才培养目标与社会需求的适应度、教师和教学资源对学校人才培养的保障度、教学质量保障体系运行的有效度、学生和社会用人单位的满意度。</w:t>
      </w:r>
    </w:p>
    <w:p w14:paraId="1FC28A8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十八、破五唯</w:t>
      </w:r>
    </w:p>
    <w:p w14:paraId="29F8DE1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坚决克服“唯分数、唯升学、唯文凭、唯论文、唯帽子”的顽瘴痼疾。</w:t>
      </w:r>
    </w:p>
    <w:p w14:paraId="3D28B08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十九、育人平台</w:t>
      </w:r>
    </w:p>
    <w:p w14:paraId="337028B8">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指高校为培养人才所提供的环境与条件（包括软件条件与硬件条件）以及为学生发展所提供的舞台。具体包括：在线教育平台、科教或者产教融合的实习实践平台、科研创新与实践平台、学生发展服务平台等。</w:t>
      </w:r>
    </w:p>
    <w:p w14:paraId="6DAA32F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二十、学生发展</w:t>
      </w:r>
    </w:p>
    <w:p w14:paraId="487277F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指的是学生经过大学学习后的收获或者成果，包括知识的获得、各种能力和综合素质的提升等。</w:t>
      </w:r>
    </w:p>
    <w:p w14:paraId="53C252C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二十一、教学成效</w:t>
      </w:r>
    </w:p>
    <w:p w14:paraId="414542D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指的是通过教学所取得的成果和成效，学生发展是教学最大的成效，但不是惟一的成效，还包括教学所产生的社会影响力等。</w:t>
      </w:r>
    </w:p>
    <w:p w14:paraId="2EBAC37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color w:val="auto"/>
          <w:sz w:val="32"/>
          <w:szCs w:val="40"/>
          <w:lang w:val="en-US" w:eastAsia="zh-CN"/>
        </w:rPr>
        <w:t>二十二、学生成长增值评价</w:t>
      </w:r>
    </w:p>
    <w:p w14:paraId="7EFABA5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在教育评价领域，增值是指学生的“发展程度”，强调的是学生的人文底蕴、科学精神、学会学习、健康生活、责任担当、实践创新等综合素质在接受某一阶段教育时前后对比的进步程度。</w:t>
      </w:r>
    </w:p>
    <w:p w14:paraId="2D97DD9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color w:val="auto"/>
          <w:sz w:val="32"/>
          <w:szCs w:val="40"/>
          <w:lang w:val="en-US" w:eastAsia="zh-CN"/>
        </w:rPr>
        <w:t>二十三、</w:t>
      </w:r>
      <w:r>
        <w:rPr>
          <w:rFonts w:hint="eastAsia" w:ascii="黑体" w:hAnsi="黑体" w:eastAsia="黑体" w:cs="黑体"/>
          <w:b w:val="0"/>
          <w:bCs w:val="0"/>
          <w:color w:val="auto"/>
          <w:sz w:val="32"/>
          <w:szCs w:val="40"/>
          <w:lang w:val="en-US" w:eastAsia="zh-CN"/>
        </w:rPr>
        <w:t>坚持社会主义办学方向根本培养任务？</w:t>
      </w:r>
    </w:p>
    <w:p w14:paraId="1E93975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培养德智体美劳全面发展的社会主义建设者和接班人</w:t>
      </w:r>
    </w:p>
    <w:p w14:paraId="7F05675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b w:val="0"/>
          <w:bCs w:val="0"/>
          <w:color w:val="auto"/>
          <w:sz w:val="32"/>
          <w:szCs w:val="40"/>
          <w:lang w:val="en-US" w:eastAsia="zh-CN"/>
        </w:rPr>
      </w:pPr>
      <w:r>
        <w:rPr>
          <w:rFonts w:hint="eastAsia" w:ascii="黑体" w:hAnsi="黑体" w:eastAsia="黑体" w:cs="黑体"/>
          <w:b w:val="0"/>
          <w:bCs w:val="0"/>
          <w:color w:val="auto"/>
          <w:sz w:val="32"/>
          <w:szCs w:val="40"/>
          <w:lang w:val="en-US" w:eastAsia="zh-CN"/>
        </w:rPr>
        <w:t>二十四、教育的“四个服务”是什么？</w:t>
      </w:r>
    </w:p>
    <w:p w14:paraId="3E4A91A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40"/>
          <w:lang w:val="en-US" w:eastAsia="zh-CN"/>
        </w:rPr>
      </w:pPr>
      <w:r>
        <w:rPr>
          <w:rFonts w:hint="eastAsia" w:ascii="仿宋_GB2312" w:hAnsi="仿宋_GB2312" w:eastAsia="仿宋_GB2312" w:cs="仿宋_GB2312"/>
          <w:b w:val="0"/>
          <w:bCs w:val="0"/>
          <w:color w:val="auto"/>
          <w:sz w:val="32"/>
          <w:szCs w:val="40"/>
          <w:lang w:val="en-US" w:eastAsia="zh-CN"/>
        </w:rPr>
        <w:t>“四个服务”是由习近平总书记在全国高校思想政治工作会议上提出的。强调高等教育要“为人民服务，为中国共产党治国理政服务，为巩固和发展中国特色社会主义制度服务，为改革开放和社会主义现代化建设服务”。</w:t>
      </w:r>
    </w:p>
    <w:p w14:paraId="7921C41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420" w:leftChars="0" w:firstLine="320" w:firstLineChars="100"/>
        <w:textAlignment w:val="auto"/>
        <w:rPr>
          <w:rFonts w:hint="eastAsia" w:ascii="仿宋_GB2312" w:hAnsi="仿宋_GB2312" w:eastAsia="仿宋_GB2312" w:cs="仿宋_GB2312"/>
          <w:b/>
          <w:bCs/>
          <w:color w:val="auto"/>
          <w:sz w:val="32"/>
          <w:szCs w:val="40"/>
          <w:lang w:val="en-US" w:eastAsia="zh-CN"/>
        </w:rPr>
      </w:pPr>
      <w:r>
        <w:rPr>
          <w:rFonts w:hint="eastAsia" w:ascii="黑体" w:hAnsi="黑体" w:eastAsia="黑体" w:cs="黑体"/>
          <w:b w:val="0"/>
          <w:bCs w:val="0"/>
          <w:color w:val="auto"/>
          <w:sz w:val="32"/>
          <w:szCs w:val="40"/>
          <w:lang w:val="en-US" w:eastAsia="zh-CN"/>
        </w:rPr>
        <w:t>二十五、</w:t>
      </w:r>
      <w:r>
        <w:rPr>
          <w:rFonts w:hint="eastAsia" w:ascii="仿宋_GB2312" w:hAnsi="仿宋_GB2312" w:eastAsia="仿宋_GB2312" w:cs="仿宋_GB2312"/>
          <w:b/>
          <w:bCs/>
          <w:color w:val="auto"/>
          <w:sz w:val="32"/>
          <w:szCs w:val="40"/>
          <w:lang w:val="en-US" w:eastAsia="zh-CN"/>
        </w:rPr>
        <w:t>十大育人体系</w:t>
      </w:r>
    </w:p>
    <w:p w14:paraId="636BEB7F">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课程育人质量提升体系</w:t>
      </w:r>
    </w:p>
    <w:p w14:paraId="74A012D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科研育人质量提升体系</w:t>
      </w:r>
    </w:p>
    <w:p w14:paraId="1560533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实践育人质量提升体系</w:t>
      </w:r>
    </w:p>
    <w:p w14:paraId="4B75283A">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文化育人质量提升体系</w:t>
      </w:r>
    </w:p>
    <w:p w14:paraId="424BA55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网络育人质量提升体系</w:t>
      </w:r>
    </w:p>
    <w:p w14:paraId="7B055725">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心理育人质量提升体系</w:t>
      </w:r>
    </w:p>
    <w:p w14:paraId="793866A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管理育人质量提升体系</w:t>
      </w:r>
    </w:p>
    <w:p w14:paraId="64F5BFC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服务育人质量提升体系</w:t>
      </w:r>
    </w:p>
    <w:p w14:paraId="6F05E739">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资助育人质量提升体系</w:t>
      </w:r>
    </w:p>
    <w:p w14:paraId="3FD6B97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r>
        <w:rPr>
          <w:rFonts w:hint="eastAsia" w:ascii="仿宋_GB2312" w:hAnsi="仿宋_GB2312" w:eastAsia="仿宋_GB2312" w:cs="仿宋_GB2312"/>
          <w:color w:val="auto"/>
          <w:sz w:val="32"/>
          <w:szCs w:val="40"/>
          <w:lang w:val="en-US" w:eastAsia="zh-CN"/>
        </w:rPr>
        <w:t>组织育人质量提升体系</w:t>
      </w:r>
    </w:p>
    <w:p w14:paraId="559E5F52">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黑体" w:hAnsi="黑体" w:eastAsia="黑体" w:cs="黑体"/>
          <w:color w:val="auto"/>
          <w:sz w:val="32"/>
          <w:szCs w:val="40"/>
          <w:lang w:val="en-US" w:eastAsia="zh-CN"/>
        </w:rPr>
      </w:pPr>
      <w:r>
        <w:rPr>
          <w:rFonts w:hint="eastAsia" w:ascii="黑体" w:hAnsi="黑体" w:eastAsia="黑体" w:cs="黑体"/>
          <w:b w:val="0"/>
          <w:bCs w:val="0"/>
          <w:color w:val="auto"/>
          <w:sz w:val="32"/>
          <w:szCs w:val="40"/>
          <w:lang w:val="en-US" w:eastAsia="zh-CN"/>
        </w:rPr>
        <w:t>二十六、</w:t>
      </w:r>
      <w:r>
        <w:rPr>
          <w:rFonts w:hint="eastAsia" w:ascii="黑体" w:hAnsi="黑体" w:eastAsia="黑体" w:cs="黑体"/>
          <w:color w:val="auto"/>
          <w:sz w:val="32"/>
          <w:szCs w:val="40"/>
          <w:lang w:val="en-US" w:eastAsia="zh-CN"/>
        </w:rPr>
        <w:t>培养新时代青年要遵循的“六个下功夫”</w:t>
      </w:r>
    </w:p>
    <w:p w14:paraId="19AC437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bCs/>
          <w:color w:val="auto"/>
          <w:sz w:val="32"/>
          <w:szCs w:val="40"/>
          <w:lang w:val="en-US" w:eastAsia="zh-CN"/>
        </w:rPr>
      </w:pPr>
      <w:r>
        <w:rPr>
          <w:rFonts w:hint="eastAsia" w:ascii="仿宋_GB2312" w:hAnsi="仿宋_GB2312" w:eastAsia="仿宋_GB2312" w:cs="仿宋_GB2312"/>
          <w:color w:val="auto"/>
          <w:sz w:val="32"/>
          <w:szCs w:val="40"/>
          <w:lang w:val="en-US" w:eastAsia="zh-CN"/>
        </w:rPr>
        <w:t>要在坚定理想信念上下功夫、在厚植爱国主义情怀上下功夫、在加强品德修养上下功夫、在增长知识见识上下功夫、在培养奋斗精神上下功夫、在增强综合素质上下功夫。</w:t>
      </w:r>
    </w:p>
    <w:p w14:paraId="0F0E496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textAlignment w:val="auto"/>
        <w:rPr>
          <w:rFonts w:hint="default" w:ascii="仿宋_GB2312" w:hAnsi="仿宋_GB2312" w:eastAsia="仿宋_GB2312" w:cs="仿宋_GB2312"/>
          <w:b w:val="0"/>
          <w:bCs w:val="0"/>
          <w:color w:val="auto"/>
          <w:sz w:val="32"/>
          <w:szCs w:val="40"/>
          <w:lang w:val="en-US" w:eastAsia="zh-CN"/>
        </w:rPr>
      </w:pPr>
      <w:r>
        <w:rPr>
          <w:rFonts w:hint="eastAsia" w:ascii="黑体" w:hAnsi="黑体" w:eastAsia="黑体" w:cs="黑体"/>
          <w:b w:val="0"/>
          <w:bCs w:val="0"/>
          <w:color w:val="auto"/>
          <w:sz w:val="32"/>
          <w:szCs w:val="40"/>
          <w:lang w:val="en-US" w:eastAsia="zh-CN"/>
        </w:rPr>
        <w:t>二十七、</w:t>
      </w:r>
      <w:r>
        <w:rPr>
          <w:rFonts w:hint="eastAsia" w:ascii="仿宋_GB2312" w:hAnsi="仿宋_GB2312" w:eastAsia="仿宋_GB2312" w:cs="仿宋_GB2312"/>
          <w:b/>
          <w:bCs/>
          <w:color w:val="auto"/>
          <w:sz w:val="32"/>
          <w:szCs w:val="40"/>
          <w:lang w:val="en-US" w:eastAsia="zh-CN"/>
        </w:rPr>
        <w:t>八个首先</w:t>
      </w:r>
    </w:p>
    <w:p w14:paraId="392C0521">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40"/>
          <w:lang w:val="en-US" w:eastAsia="zh-CN"/>
        </w:rPr>
      </w:pPr>
      <w:r>
        <w:rPr>
          <w:rFonts w:hint="eastAsia" w:ascii="仿宋_GB2312" w:hAnsi="仿宋_GB2312" w:eastAsia="仿宋_GB2312" w:cs="仿宋_GB2312"/>
          <w:b w:val="0"/>
          <w:bCs w:val="0"/>
          <w:color w:val="auto"/>
          <w:sz w:val="32"/>
          <w:szCs w:val="40"/>
          <w:lang w:val="en-US" w:eastAsia="zh-CN"/>
        </w:rPr>
        <w:t>2018年教育部举行新时代全国高等学校本科教育工作会议就如何把本科教育放在人才培养的核心地位教育教学的基础地位新时代教育发展的前沿地位提出本科教育的8个“首先”</w:t>
      </w:r>
    </w:p>
    <w:p w14:paraId="2BC279B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b w:val="0"/>
          <w:bCs w:val="0"/>
          <w:color w:val="auto"/>
          <w:sz w:val="32"/>
          <w:szCs w:val="40"/>
          <w:lang w:val="en-US" w:eastAsia="zh-CN"/>
        </w:rPr>
      </w:pPr>
      <w:r>
        <w:rPr>
          <w:rFonts w:hint="eastAsia" w:ascii="仿宋_GB2312" w:hAnsi="仿宋_GB2312" w:eastAsia="仿宋_GB2312" w:cs="仿宋_GB2312"/>
          <w:b w:val="0"/>
          <w:bCs w:val="0"/>
          <w:color w:val="auto"/>
          <w:sz w:val="32"/>
          <w:szCs w:val="40"/>
          <w:lang w:val="en-US" w:eastAsia="zh-CN"/>
        </w:rPr>
        <w:t>①领导注意力首先在本科聚焦②教师精力首先在本科集中③学校资源首先在本科配置④教学条件首先在本科使用⑤教学方法和激励机制首先在本科创新⑥核心竞争力和教学质量首先在本科显现⑦发展战略和办学理念首先在本科实践⑧核心价值体系首先在本科确立</w:t>
      </w:r>
    </w:p>
    <w:p w14:paraId="6E26F9A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40"/>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33924C9D-2419-4F60-9C40-235BFA2DD08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465D9932-37DB-4ADA-8036-06B0FFDED3C9}"/>
  </w:font>
  <w:font w:name="仿宋_GB2312">
    <w:panose1 w:val="02010609030101010101"/>
    <w:charset w:val="86"/>
    <w:family w:val="auto"/>
    <w:pitch w:val="default"/>
    <w:sig w:usb0="00000001" w:usb1="080E0000" w:usb2="00000000" w:usb3="00000000" w:csb0="00040000" w:csb1="00000000"/>
    <w:embedRegular r:id="rId3" w:fontKey="{FD035878-DA10-46A3-8AF4-9257783402DF}"/>
  </w:font>
  <w:font w:name="方正小标宋简体">
    <w:panose1 w:val="02010600010101010101"/>
    <w:charset w:val="86"/>
    <w:family w:val="auto"/>
    <w:pitch w:val="default"/>
    <w:sig w:usb0="00000001" w:usb1="080E0000" w:usb2="00000000" w:usb3="00000000" w:csb0="00040000" w:csb1="00000000"/>
    <w:embedRegular r:id="rId4" w:fontKey="{3D328DD0-497B-4605-B5EF-03446B518170}"/>
  </w:font>
  <w:font w:name="楷体">
    <w:panose1 w:val="02010609060101010101"/>
    <w:charset w:val="86"/>
    <w:family w:val="auto"/>
    <w:pitch w:val="default"/>
    <w:sig w:usb0="800002BF" w:usb1="38CF7CFA" w:usb2="00000016" w:usb3="00000000" w:csb0="00040001" w:csb1="00000000"/>
    <w:embedRegular r:id="rId5" w:fontKey="{0203A573-7485-480F-B3DB-2860D7BC0A21}"/>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58C1E6">
    <w:pPr>
      <w:spacing w:line="168" w:lineRule="auto"/>
      <w:rPr>
        <w:rFonts w:ascii="Calibri" w:hAnsi="Calibri" w:eastAsia="Calibri" w:cs="Calibri"/>
        <w:sz w:val="18"/>
        <w:szCs w:val="18"/>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893682E"/>
    <w:multiLevelType w:val="singleLevel"/>
    <w:tmpl w:val="E893682E"/>
    <w:lvl w:ilvl="0" w:tentative="0">
      <w:start w:val="1"/>
      <w:numFmt w:val="chineseCounting"/>
      <w:pStyle w:val="5"/>
      <w:suff w:val="nothing"/>
      <w:lvlText w:val="（%1）"/>
      <w:lvlJc w:val="left"/>
      <w:pPr>
        <w:ind w:left="0" w:firstLine="42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EEE69F2"/>
    <w:rsid w:val="04E06066"/>
    <w:rsid w:val="0EEE69F2"/>
    <w:rsid w:val="16C31566"/>
    <w:rsid w:val="26843033"/>
    <w:rsid w:val="2F5B21F0"/>
    <w:rsid w:val="482D676C"/>
    <w:rsid w:val="4B266B43"/>
    <w:rsid w:val="4B7A7B74"/>
    <w:rsid w:val="4DD62DF6"/>
    <w:rsid w:val="6220679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customStyle="1" w:styleId="5">
    <w:name w:val="标题2"/>
    <w:basedOn w:val="1"/>
    <w:qFormat/>
    <w:uiPriority w:val="0"/>
    <w:pPr>
      <w:numPr>
        <w:ilvl w:val="0"/>
        <w:numId w:val="1"/>
      </w:numPr>
      <w:ind w:firstLine="420"/>
    </w:pPr>
    <w:rPr>
      <w:rFonts w:hint="eastAsia" w:ascii="仿宋_GB2312" w:hAnsi="仿宋_GB2312" w:eastAsia="仿宋_GB2312" w:cs="仿宋_GB2312"/>
      <w:b/>
      <w:bCs/>
      <w:sz w:val="32"/>
      <w:szCs w:val="40"/>
    </w:rPr>
  </w:style>
  <w:style w:type="character" w:customStyle="1" w:styleId="6">
    <w:name w:val="标题1 Char"/>
    <w:link w:val="7"/>
    <w:qFormat/>
    <w:uiPriority w:val="0"/>
    <w:rPr>
      <w:rFonts w:hint="eastAsia" w:ascii="仿宋_GB2312" w:hAnsi="仿宋_GB2312" w:eastAsia="仿宋_GB2312" w:cs="仿宋_GB2312"/>
      <w:b/>
      <w:bCs/>
      <w:sz w:val="32"/>
      <w:szCs w:val="40"/>
    </w:rPr>
  </w:style>
  <w:style w:type="paragraph" w:customStyle="1" w:styleId="7">
    <w:name w:val="标题1"/>
    <w:basedOn w:val="1"/>
    <w:link w:val="6"/>
    <w:qFormat/>
    <w:uiPriority w:val="0"/>
    <w:rPr>
      <w:rFonts w:hint="eastAsia" w:ascii="仿宋_GB2312" w:hAnsi="仿宋_GB2312" w:eastAsia="仿宋_GB2312" w:cs="仿宋_GB2312"/>
      <w:b/>
      <w:bCs/>
      <w:sz w:val="32"/>
      <w:szCs w:val="40"/>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microsoft.com/office/2007/relationships/hdphoto"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4599</Words>
  <Characters>4658</Characters>
  <Lines>0</Lines>
  <Paragraphs>0</Paragraphs>
  <TotalTime>15</TotalTime>
  <ScaleCrop>false</ScaleCrop>
  <LinksUpToDate>false</LinksUpToDate>
  <CharactersWithSpaces>4666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2025-04-24T10:44:00Z</dcterms:created>
  <dc:creator>刘开会</dc:creator>
  <cp:lastModifiedBy>刘开会</cp:lastModifiedBy>
  <dcterms:modified xsi:type="dcterms:W3CDTF">2025-05-07T07:46:14Z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3974F640160049BEAC923D9EF562278D_11</vt:lpwstr>
  </property>
  <property fmtid="{D5CDD505-2E9C-101B-9397-08002B2CF9AE}" pid="4" name="KSOTemplateDocerSaveRecord">
    <vt:lpwstr>eyJoZGlkIjoiODY5YTE2MDQ0MjI5NDllNDllN2ZmYTJkYTdmM2VlYWEiLCJ1c2VySWQiOiI0Mjc1NTcwNzQifQ==</vt:lpwstr>
  </property>
</Properties>
</file>