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0D89001">
      <w:pPr>
        <w:keepNext w:val="0"/>
        <w:keepLines w:val="0"/>
        <w:pageBreakBefore w:val="0"/>
        <w:widowControl w:val="0"/>
        <w:suppressLineNumbers w:val="0"/>
        <w:kinsoku/>
        <w:wordWrap/>
        <w:overflowPunct/>
        <w:topLinePunct w:val="0"/>
        <w:autoSpaceDE/>
        <w:autoSpaceDN/>
        <w:bidi w:val="0"/>
        <w:adjustRightInd/>
        <w:snapToGrid/>
        <w:jc w:val="left"/>
        <w:textAlignment w:val="auto"/>
        <w:outlineLvl w:val="0"/>
      </w:pPr>
      <w:r>
        <w:drawing>
          <wp:inline distT="0" distB="0" distL="114300" distR="114300">
            <wp:extent cx="3164205" cy="1002665"/>
            <wp:effectExtent l="0" t="0" r="0" b="317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5"/>
                    <a:stretch>
                      <a:fillRect/>
                    </a:stretch>
                  </pic:blipFill>
                  <pic:spPr>
                    <a:xfrm>
                      <a:off x="0" y="0"/>
                      <a:ext cx="3164205" cy="1002665"/>
                    </a:xfrm>
                    <a:prstGeom prst="rect">
                      <a:avLst/>
                    </a:prstGeom>
                    <a:noFill/>
                    <a:ln>
                      <a:noFill/>
                    </a:ln>
                  </pic:spPr>
                </pic:pic>
              </a:graphicData>
            </a:graphic>
          </wp:inline>
        </w:drawing>
      </w:r>
    </w:p>
    <w:p w14:paraId="3A3EF370">
      <w:pPr>
        <w:keepNext w:val="0"/>
        <w:keepLines w:val="0"/>
        <w:pageBreakBefore w:val="0"/>
        <w:widowControl w:val="0"/>
        <w:suppressLineNumbers w:val="0"/>
        <w:kinsoku/>
        <w:wordWrap/>
        <w:overflowPunct/>
        <w:topLinePunct w:val="0"/>
        <w:autoSpaceDE/>
        <w:autoSpaceDN/>
        <w:bidi w:val="0"/>
        <w:adjustRightInd/>
        <w:snapToGrid/>
        <w:jc w:val="left"/>
        <w:textAlignment w:val="auto"/>
        <w:outlineLvl w:val="0"/>
      </w:pPr>
    </w:p>
    <w:p w14:paraId="2B904FEC">
      <w:pPr>
        <w:keepNext w:val="0"/>
        <w:keepLines w:val="0"/>
        <w:pageBreakBefore w:val="0"/>
        <w:widowControl w:val="0"/>
        <w:suppressLineNumbers w:val="0"/>
        <w:kinsoku/>
        <w:wordWrap/>
        <w:overflowPunct/>
        <w:topLinePunct w:val="0"/>
        <w:autoSpaceDE/>
        <w:autoSpaceDN/>
        <w:bidi w:val="0"/>
        <w:adjustRightInd/>
        <w:snapToGrid/>
        <w:jc w:val="center"/>
        <w:textAlignment w:val="auto"/>
        <w:outlineLvl w:val="0"/>
        <w:rPr>
          <w:rFonts w:hint="eastAsia" w:ascii="方正小标宋简体" w:hAnsi="方正小标宋简体" w:eastAsia="方正小标宋简体" w:cs="方正小标宋简体"/>
          <w:sz w:val="72"/>
          <w:szCs w:val="72"/>
          <w:lang w:val="en-US" w:eastAsia="zh-CN"/>
        </w:rPr>
      </w:pPr>
      <w:r>
        <w:rPr>
          <w:rFonts w:hint="eastAsia" w:ascii="方正小标宋简体" w:hAnsi="方正小标宋简体" w:eastAsia="方正小标宋简体" w:cs="方正小标宋简体"/>
          <w:sz w:val="72"/>
          <w:szCs w:val="72"/>
          <w:lang w:val="en-US" w:eastAsia="zh-CN"/>
        </w:rPr>
        <w:t>本科教育教学审核评估</w:t>
      </w:r>
    </w:p>
    <w:p w14:paraId="3D292DEC">
      <w:pPr>
        <w:keepNext w:val="0"/>
        <w:keepLines w:val="0"/>
        <w:pageBreakBefore w:val="0"/>
        <w:widowControl w:val="0"/>
        <w:suppressLineNumbers w:val="0"/>
        <w:kinsoku/>
        <w:wordWrap/>
        <w:overflowPunct/>
        <w:topLinePunct w:val="0"/>
        <w:autoSpaceDE/>
        <w:autoSpaceDN/>
        <w:bidi w:val="0"/>
        <w:adjustRightInd/>
        <w:snapToGrid/>
        <w:jc w:val="center"/>
        <w:textAlignment w:val="auto"/>
        <w:outlineLvl w:val="0"/>
        <w:rPr>
          <w:rFonts w:hint="eastAsia" w:ascii="方正小标宋简体" w:hAnsi="方正小标宋简体" w:eastAsia="方正小标宋简体" w:cs="方正小标宋简体"/>
          <w:sz w:val="72"/>
          <w:szCs w:val="72"/>
          <w:lang w:val="en-US" w:eastAsia="zh-CN"/>
        </w:rPr>
      </w:pPr>
      <w:r>
        <w:rPr>
          <w:rFonts w:hint="eastAsia" w:ascii="方正小标宋简体" w:hAnsi="方正小标宋简体" w:eastAsia="方正小标宋简体" w:cs="方正小标宋简体"/>
          <w:sz w:val="72"/>
          <w:szCs w:val="72"/>
          <w:lang w:val="en-US" w:eastAsia="zh-CN"/>
        </w:rPr>
        <w:t>知识手册(一)</w:t>
      </w:r>
    </w:p>
    <w:p w14:paraId="77A7DDDC">
      <w:pPr>
        <w:keepNext w:val="0"/>
        <w:keepLines w:val="0"/>
        <w:pageBreakBefore w:val="0"/>
        <w:widowControl w:val="0"/>
        <w:suppressLineNumbers w:val="0"/>
        <w:kinsoku/>
        <w:wordWrap/>
        <w:overflowPunct/>
        <w:topLinePunct w:val="0"/>
        <w:autoSpaceDE/>
        <w:autoSpaceDN/>
        <w:bidi w:val="0"/>
        <w:adjustRightInd/>
        <w:snapToGrid/>
        <w:jc w:val="center"/>
        <w:textAlignment w:val="auto"/>
        <w:outlineLvl w:val="0"/>
        <w:rPr>
          <w:rFonts w:hint="eastAsia" w:ascii="黑体" w:hAnsi="黑体" w:eastAsia="黑体" w:cs="黑体"/>
          <w:sz w:val="52"/>
          <w:szCs w:val="52"/>
          <w:lang w:val="en-US" w:eastAsia="zh-CN"/>
        </w:rPr>
      </w:pPr>
      <w:r>
        <w:rPr>
          <w:rFonts w:hint="eastAsia" w:ascii="黑体" w:hAnsi="黑体" w:eastAsia="黑体" w:cs="黑体"/>
          <w:sz w:val="52"/>
          <w:szCs w:val="52"/>
          <w:lang w:val="en-US" w:eastAsia="zh-CN"/>
        </w:rPr>
        <w:t xml:space="preserve">                     学生版</w:t>
      </w:r>
    </w:p>
    <w:p w14:paraId="6ABFC6F8">
      <w:pPr>
        <w:keepNext w:val="0"/>
        <w:keepLines w:val="0"/>
        <w:pageBreakBefore w:val="0"/>
        <w:widowControl w:val="0"/>
        <w:suppressLineNumbers w:val="0"/>
        <w:kinsoku/>
        <w:wordWrap/>
        <w:overflowPunct/>
        <w:topLinePunct w:val="0"/>
        <w:autoSpaceDE/>
        <w:autoSpaceDN/>
        <w:bidi w:val="0"/>
        <w:adjustRightInd/>
        <w:snapToGrid/>
        <w:jc w:val="center"/>
        <w:textAlignment w:val="auto"/>
        <w:outlineLvl w:val="0"/>
        <w:rPr>
          <w:rFonts w:hint="eastAsia" w:ascii="黑体" w:hAnsi="黑体" w:eastAsia="黑体" w:cs="黑体"/>
          <w:sz w:val="52"/>
          <w:szCs w:val="52"/>
          <w:lang w:val="en-US" w:eastAsia="zh-CN"/>
        </w:rPr>
      </w:pPr>
      <w:r>
        <w:rPr>
          <w:rFonts w:ascii="宋体" w:hAnsi="宋体" w:eastAsia="宋体" w:cs="宋体"/>
          <w:sz w:val="24"/>
          <w:szCs w:val="24"/>
        </w:rPr>
        <w:drawing>
          <wp:inline distT="0" distB="0" distL="114300" distR="114300">
            <wp:extent cx="5264785" cy="3094355"/>
            <wp:effectExtent l="0" t="0" r="26670" b="0"/>
            <wp:docPr id="4" name="图片 2" descr="7b0a202020202266696c746572223a202230222c0a20202020227069636672616d65646573223a20222670666d38333230343239393839262673707432312d312626626474303026267764743235353026266f726773697a653030262670667431323226220a7d0a"/>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78205687-dffa-465d-8561-02f4a4648f14}"/>
                  </s:tag>
                </a:ext>
              </a:extLst>
            </wp:cNvGraphicFramePr>
            <a:graphic xmlns:a="http://schemas.openxmlformats.org/drawingml/2006/main">
              <a:graphicData uri="http://schemas.openxmlformats.org/drawingml/2006/picture">
                <pic:pic xmlns:pic="http://schemas.openxmlformats.org/drawingml/2006/picture">
                  <pic:nvPicPr>
                    <pic:cNvPr id="4" name="图片 2" descr="7b0a202020202266696c746572223a202230222c0a20202020227069636672616d65646573223a20222670666d38333230343239393839262673707432312d312626626474303026267764743235353026266f726773697a653030262670667431323226220a7d0a"/>
                    <pic:cNvPicPr>
                      <a:picLocks noChangeAspect="1"/>
                    </pic:cNvPicPr>
                  </pic:nvPicPr>
                  <pic:blipFill>
                    <a:blip r:embed="rId6">
                      <a:extLst>
                        <a:ext uri="{BEBA8EAE-BF5A-486C-A8C5-ECC9F3942E4B}">
                          <a14:imgProps xmlns:a14="http://schemas.microsoft.com/office/drawing/2010/main">
                            <a14:imgLayer r:embed="rId7"/>
                          </a14:imgProps>
                        </a:ext>
                      </a:extLst>
                    </a:blip>
                    <a:srcRect/>
                    <a:stretch>
                      <a:fillRect/>
                    </a:stretch>
                  </pic:blipFill>
                  <pic:spPr>
                    <a:xfrm>
                      <a:off x="0" y="0"/>
                      <a:ext cx="5264785" cy="3094355"/>
                    </a:xfrm>
                    <a:prstGeom prst="rect">
                      <a:avLst/>
                    </a:prstGeom>
                    <a:effectLst>
                      <a:outerShdw blurRad="50800" dist="38100" dir="5400000" algn="t" rotWithShape="0">
                        <a:prstClr val="black">
                          <a:alpha val="4000"/>
                        </a:prstClr>
                      </a:outerShdw>
                      <a:softEdge rad="203200"/>
                    </a:effectLst>
                  </pic:spPr>
                </pic:pic>
              </a:graphicData>
            </a:graphic>
          </wp:inline>
        </w:drawing>
      </w:r>
    </w:p>
    <w:p w14:paraId="7741EBA9">
      <w:pPr>
        <w:keepNext w:val="0"/>
        <w:keepLines w:val="0"/>
        <w:pageBreakBefore w:val="0"/>
        <w:widowControl w:val="0"/>
        <w:suppressLineNumbers w:val="0"/>
        <w:kinsoku/>
        <w:wordWrap/>
        <w:overflowPunct/>
        <w:topLinePunct w:val="0"/>
        <w:autoSpaceDE/>
        <w:autoSpaceDN/>
        <w:bidi w:val="0"/>
        <w:adjustRightInd/>
        <w:snapToGrid/>
        <w:jc w:val="center"/>
        <w:textAlignment w:val="auto"/>
        <w:outlineLvl w:val="0"/>
        <w:rPr>
          <w:rFonts w:hint="eastAsia" w:ascii="楷体" w:hAnsi="楷体" w:eastAsia="楷体" w:cs="楷体"/>
          <w:b w:val="0"/>
          <w:bCs w:val="0"/>
          <w:color w:val="000000"/>
          <w:kern w:val="0"/>
          <w:sz w:val="44"/>
          <w:szCs w:val="44"/>
          <w:lang w:val="en-US" w:eastAsia="zh-CN" w:bidi="ar"/>
        </w:rPr>
      </w:pPr>
      <w:r>
        <w:rPr>
          <w:rFonts w:hint="eastAsia" w:ascii="楷体" w:hAnsi="楷体" w:eastAsia="楷体" w:cs="楷体"/>
          <w:b w:val="0"/>
          <w:bCs w:val="0"/>
          <w:color w:val="000000"/>
          <w:kern w:val="0"/>
          <w:sz w:val="44"/>
          <w:szCs w:val="44"/>
          <w:lang w:val="en-US" w:eastAsia="zh-CN" w:bidi="ar"/>
        </w:rPr>
        <w:t>本科教育教学评估中心</w:t>
      </w:r>
    </w:p>
    <w:p w14:paraId="2FFA7F28">
      <w:pPr>
        <w:keepNext w:val="0"/>
        <w:keepLines w:val="0"/>
        <w:pageBreakBefore w:val="0"/>
        <w:widowControl w:val="0"/>
        <w:suppressLineNumbers w:val="0"/>
        <w:kinsoku/>
        <w:wordWrap/>
        <w:overflowPunct/>
        <w:topLinePunct w:val="0"/>
        <w:autoSpaceDE/>
        <w:autoSpaceDN/>
        <w:bidi w:val="0"/>
        <w:adjustRightInd/>
        <w:snapToGrid/>
        <w:jc w:val="center"/>
        <w:textAlignment w:val="auto"/>
        <w:outlineLvl w:val="0"/>
        <w:rPr>
          <w:rFonts w:hint="eastAsia" w:ascii="楷体" w:hAnsi="楷体" w:eastAsia="楷体" w:cs="楷体"/>
          <w:b w:val="0"/>
          <w:bCs w:val="0"/>
          <w:color w:val="000000"/>
          <w:kern w:val="0"/>
          <w:sz w:val="44"/>
          <w:szCs w:val="44"/>
          <w:lang w:val="en-US" w:eastAsia="zh-CN" w:bidi="ar"/>
        </w:rPr>
      </w:pPr>
      <w:r>
        <w:rPr>
          <w:rFonts w:hint="eastAsia" w:ascii="楷体" w:hAnsi="楷体" w:eastAsia="楷体" w:cs="楷体"/>
          <w:b w:val="0"/>
          <w:bCs w:val="0"/>
          <w:color w:val="000000"/>
          <w:kern w:val="0"/>
          <w:sz w:val="44"/>
          <w:szCs w:val="44"/>
          <w:lang w:val="en-US" w:eastAsia="zh-CN" w:bidi="ar"/>
        </w:rPr>
        <w:t>党委学生工作部</w:t>
      </w:r>
    </w:p>
    <w:p w14:paraId="2A758176">
      <w:pPr>
        <w:keepNext w:val="0"/>
        <w:keepLines w:val="0"/>
        <w:pageBreakBefore w:val="0"/>
        <w:widowControl w:val="0"/>
        <w:suppressLineNumbers w:val="0"/>
        <w:kinsoku/>
        <w:wordWrap/>
        <w:overflowPunct/>
        <w:topLinePunct w:val="0"/>
        <w:autoSpaceDE/>
        <w:autoSpaceDN/>
        <w:bidi w:val="0"/>
        <w:adjustRightInd/>
        <w:snapToGrid/>
        <w:jc w:val="center"/>
        <w:textAlignment w:val="auto"/>
        <w:outlineLvl w:val="0"/>
        <w:rPr>
          <w:rFonts w:hint="eastAsia" w:ascii="楷体" w:hAnsi="楷体" w:eastAsia="楷体" w:cs="楷体"/>
          <w:b w:val="0"/>
          <w:bCs w:val="0"/>
          <w:color w:val="000000"/>
          <w:kern w:val="0"/>
          <w:sz w:val="44"/>
          <w:szCs w:val="44"/>
          <w:lang w:val="en-US" w:eastAsia="zh-CN" w:bidi="ar"/>
        </w:rPr>
      </w:pPr>
      <w:r>
        <w:rPr>
          <w:rFonts w:hint="eastAsia" w:ascii="楷体" w:hAnsi="楷体" w:eastAsia="楷体" w:cs="楷体"/>
          <w:b w:val="0"/>
          <w:bCs w:val="0"/>
          <w:color w:val="000000"/>
          <w:kern w:val="0"/>
          <w:sz w:val="44"/>
          <w:szCs w:val="44"/>
          <w:lang w:val="en-US" w:eastAsia="zh-CN" w:bidi="ar"/>
        </w:rPr>
        <w:t>2025年5月</w:t>
      </w:r>
    </w:p>
    <w:p w14:paraId="7F4CB9D8">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color w:val="auto"/>
          <w:sz w:val="44"/>
          <w:szCs w:val="44"/>
          <w:highlight w:val="green"/>
          <w:lang w:val="en-US" w:eastAsia="zh-CN"/>
        </w:rPr>
      </w:pPr>
      <w:bookmarkStart w:id="0" w:name="_GoBack"/>
      <w:r>
        <w:rPr>
          <w:rFonts w:hint="eastAsia" w:ascii="方正小标宋简体" w:hAnsi="方正小标宋简体" w:eastAsia="方正小标宋简体" w:cs="方正小标宋简体"/>
          <w:color w:val="auto"/>
          <w:sz w:val="44"/>
          <w:szCs w:val="44"/>
          <w:highlight w:val="green"/>
          <w:lang w:val="en-US" w:eastAsia="zh-CN"/>
        </w:rPr>
        <w:t>新一轮审核评估基础知识</w:t>
      </w:r>
    </w:p>
    <w:bookmarkEnd w:id="0"/>
    <w:p w14:paraId="5E56C81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一、什么是新一轮审核评估？</w:t>
      </w:r>
    </w:p>
    <w:p w14:paraId="329E796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新一轮审核评估是相对于 2013—2018 年组织实施的审核评估（上轮审核评估）而言的，我校于2018年参加了上一轮审核评估。</w:t>
      </w:r>
    </w:p>
    <w:p w14:paraId="4C8A76EC">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新一轮审核评估不是另起炉灶，而是上一轮审核评估的延续、改进与升级。</w:t>
      </w:r>
      <w:r>
        <w:rPr>
          <w:rFonts w:hint="eastAsia" w:ascii="仿宋_GB2312" w:hAnsi="仿宋_GB2312" w:eastAsia="仿宋_GB2312" w:cs="仿宋_GB2312"/>
          <w:color w:val="auto"/>
          <w:sz w:val="32"/>
          <w:szCs w:val="40"/>
          <w:lang w:val="en-US" w:eastAsia="zh-CN"/>
        </w:rPr>
        <w:t>充分继承上轮审核评估</w:t>
      </w:r>
      <w:r>
        <w:rPr>
          <w:rFonts w:hint="eastAsia" w:ascii="仿宋_GB2312" w:hAnsi="仿宋_GB2312" w:eastAsia="仿宋_GB2312" w:cs="仿宋_GB2312"/>
          <w:b/>
          <w:bCs/>
          <w:color w:val="auto"/>
          <w:sz w:val="32"/>
          <w:szCs w:val="40"/>
          <w:lang w:val="en-US" w:eastAsia="zh-CN"/>
        </w:rPr>
        <w:t>“自己尺子量自己”</w:t>
      </w:r>
      <w:r>
        <w:rPr>
          <w:rFonts w:hint="eastAsia" w:ascii="仿宋_GB2312" w:hAnsi="仿宋_GB2312" w:eastAsia="仿宋_GB2312" w:cs="仿宋_GB2312"/>
          <w:color w:val="auto"/>
          <w:sz w:val="32"/>
          <w:szCs w:val="40"/>
          <w:lang w:val="en-US" w:eastAsia="zh-CN"/>
        </w:rPr>
        <w:t>“五个度”等高教战线普遍认可的经验做法，积极借鉴国际高等教育质量保障先进理念，全面对接新时代本科教育新要求，从评估指导思想、理念标准、方法技术等方面系统设计、改革创新。</w:t>
      </w:r>
    </w:p>
    <w:p w14:paraId="7CCA62C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审核评估每5年一个周期，本轮审核评估时间为 2021—2025年。2021年1月21日，教育部印发《普通高等学校本科教育教学审核评估实施方案（2021-2025年）》（以下简称《方案》），启动了新一轮审核评估。</w:t>
      </w:r>
      <w:r>
        <w:rPr>
          <w:rFonts w:hint="eastAsia" w:ascii="仿宋_GB2312" w:hAnsi="仿宋_GB2312" w:eastAsia="仿宋_GB2312" w:cs="仿宋_GB2312"/>
          <w:b/>
          <w:bCs/>
          <w:color w:val="auto"/>
          <w:sz w:val="32"/>
          <w:szCs w:val="40"/>
          <w:lang w:val="en-US" w:eastAsia="zh-CN"/>
        </w:rPr>
        <w:t>我校将于2025年9月参加新一轮审核评估。</w:t>
      </w:r>
    </w:p>
    <w:p w14:paraId="5022AAB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二、为什么要开展新一轮审核评估？</w:t>
      </w:r>
    </w:p>
    <w:p w14:paraId="3BF57F8E">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一是全面落实中央教育评价改革任务。</w:t>
      </w:r>
      <w:r>
        <w:rPr>
          <w:rFonts w:hint="eastAsia" w:ascii="仿宋_GB2312" w:hAnsi="仿宋_GB2312" w:eastAsia="仿宋_GB2312" w:cs="仿宋_GB2312"/>
          <w:color w:val="auto"/>
          <w:sz w:val="32"/>
          <w:szCs w:val="40"/>
          <w:lang w:val="en-US" w:eastAsia="zh-CN"/>
        </w:rPr>
        <w:t>2020年，中央出台《深化新时代教育评价改革总体方案》《关于深化新时代教育督导体制机制改革的意见》，明确提出“改进本科教育教学评估，推进高校分类评价”“加强和改进教育评估监测”。立足时代、面向未来，统筹谋划新一轮审核评估，对落实中央教育评价改革要求，引导高校坚定正确办学方向、抓实人才培养质量“最后一公里”具有重要作用。</w:t>
      </w:r>
    </w:p>
    <w:p w14:paraId="7B705377">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二是加快构建中国特色高等教育质量保障体系。</w:t>
      </w:r>
      <w:r>
        <w:rPr>
          <w:rFonts w:hint="eastAsia" w:ascii="仿宋_GB2312" w:hAnsi="仿宋_GB2312" w:eastAsia="仿宋_GB2312" w:cs="仿宋_GB2312"/>
          <w:color w:val="auto"/>
          <w:sz w:val="32"/>
          <w:szCs w:val="40"/>
          <w:lang w:val="en-US" w:eastAsia="zh-CN"/>
        </w:rPr>
        <w:t>高等教育评估是《中华人民共和国高等教育法》法定任务，是现代高等教育体系的重要组成部分。40年实践证明，评估对推动高等教育质量提升、保证高等教育健康发展具有不可替代的作用。审核评估是高等教育质量保障体系的重要内容，研制新一轮审核评估方案，构建中国特色、符合时代需要的审核评估制度，建立健全校内校外协同联动的诊断改进机制，是加快实现高等教育质量保障体系制度化、长效化的紧迫任务。</w:t>
      </w:r>
    </w:p>
    <w:p w14:paraId="6E09DDB9">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三是切实改进本科教育教学评估工作。</w:t>
      </w:r>
      <w:r>
        <w:rPr>
          <w:rFonts w:hint="eastAsia" w:ascii="仿宋_GB2312" w:hAnsi="仿宋_GB2312" w:eastAsia="仿宋_GB2312" w:cs="仿宋_GB2312"/>
          <w:color w:val="auto"/>
          <w:sz w:val="32"/>
          <w:szCs w:val="40"/>
          <w:lang w:val="en-US" w:eastAsia="zh-CN"/>
        </w:rPr>
        <w:t>上轮审核评估在引导高校“强内涵、促特色”方面作用明显，评估理念标准已在战线形成广泛共识，成为高等教育评估的品牌，并在国际上产生积极影响。但还存在评估推动高校建立立德树人落实机制力度不够、评估分类不明确、评估结果刚性不强、评估整改乏力等不足，迫切需要在传承经验的基础上，对审核评估工作进行改革创新。</w:t>
      </w:r>
    </w:p>
    <w:p w14:paraId="70C3206B">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四是顺应国际高等教育发展趋势的必然选择。</w:t>
      </w:r>
      <w:r>
        <w:rPr>
          <w:rFonts w:hint="eastAsia" w:ascii="仿宋_GB2312" w:hAnsi="仿宋_GB2312" w:eastAsia="仿宋_GB2312" w:cs="仿宋_GB2312"/>
          <w:color w:val="auto"/>
          <w:sz w:val="32"/>
          <w:szCs w:val="40"/>
          <w:lang w:val="en-US" w:eastAsia="zh-CN"/>
        </w:rPr>
        <w:t>评估是国际高等教育领域保障高校办学水平和人才培养质量的重要机制，本科评估已成为全球大多数国家与国际组织治理高等教育的通用手段。美国、英国、法国、德国、日本、韩国等发达国家都在积极运用评估改善高校教育教学质量，促进高等教育健康发展，普遍建立起了高等教育质量保障法律法规体系和制度体系，开展课程质量评估、专业质量认证、院校评估、教学评价、科研评估等质量评估工作。新一轮审核评估针对我国高等教育进入普及化阶段的质量保障需要，体现了国际高等教育评估的共性趋向，有利于内部质量保障与外部质量保障的有机统一，相融互促。</w:t>
      </w:r>
    </w:p>
    <w:p w14:paraId="4B1D50D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三、新一轮审核评估“新”在哪里？</w:t>
      </w:r>
    </w:p>
    <w:p w14:paraId="1FAD2715">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一是评估导向的变化</w:t>
      </w:r>
      <w:r>
        <w:rPr>
          <w:rFonts w:hint="eastAsia" w:ascii="仿宋_GB2312" w:hAnsi="仿宋_GB2312" w:eastAsia="仿宋_GB2312" w:cs="仿宋_GB2312"/>
          <w:color w:val="auto"/>
          <w:sz w:val="32"/>
          <w:szCs w:val="40"/>
          <w:lang w:val="en-US" w:eastAsia="zh-CN"/>
        </w:rPr>
        <w:t>。强调把立德树人成效作为检验学校一切工作的根本标准；</w:t>
      </w:r>
    </w:p>
    <w:p w14:paraId="7F6A76C4">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二是评估内涵的变化。</w:t>
      </w:r>
      <w:r>
        <w:rPr>
          <w:rFonts w:hint="eastAsia" w:ascii="仿宋_GB2312" w:hAnsi="仿宋_GB2312" w:eastAsia="仿宋_GB2312" w:cs="仿宋_GB2312"/>
          <w:color w:val="auto"/>
          <w:sz w:val="32"/>
          <w:szCs w:val="40"/>
          <w:lang w:val="en-US" w:eastAsia="zh-CN"/>
        </w:rPr>
        <w:t>变本科教学工作评估为本科教育教学评估，突出教育与教学的有机结合；</w:t>
      </w:r>
    </w:p>
    <w:p w14:paraId="4B1C7E10">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三是评估类型的变化</w:t>
      </w:r>
      <w:r>
        <w:rPr>
          <w:rFonts w:hint="eastAsia" w:ascii="仿宋_GB2312" w:hAnsi="仿宋_GB2312" w:eastAsia="仿宋_GB2312" w:cs="仿宋_GB2312"/>
          <w:color w:val="auto"/>
          <w:sz w:val="32"/>
          <w:szCs w:val="40"/>
          <w:lang w:val="en-US" w:eastAsia="zh-CN"/>
        </w:rPr>
        <w:t>。采取柔性分类方法，提供“两类四种”评估方案和不同指标模块供高校自主选择；</w:t>
      </w:r>
    </w:p>
    <w:p w14:paraId="1A3E5BD9">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四是评估方法的变化。</w:t>
      </w:r>
      <w:r>
        <w:rPr>
          <w:rFonts w:hint="eastAsia" w:ascii="仿宋_GB2312" w:hAnsi="仿宋_GB2312" w:eastAsia="仿宋_GB2312" w:cs="仿宋_GB2312"/>
          <w:color w:val="auto"/>
          <w:sz w:val="32"/>
          <w:szCs w:val="40"/>
          <w:lang w:val="en-US" w:eastAsia="zh-CN"/>
        </w:rPr>
        <w:t>采取线上与入校“一体化”评估、定性与定量相结合、明察与暗访相结合等方式，当好“医生”和“教练”，为学校“诊断把脉”，突出评估为学校服务；</w:t>
      </w:r>
    </w:p>
    <w:p w14:paraId="14FE15F3">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五是评估功能的变化。</w:t>
      </w:r>
      <w:r>
        <w:rPr>
          <w:rFonts w:hint="eastAsia" w:ascii="仿宋_GB2312" w:hAnsi="仿宋_GB2312" w:eastAsia="仿宋_GB2312" w:cs="仿宋_GB2312"/>
          <w:color w:val="auto"/>
          <w:sz w:val="32"/>
          <w:szCs w:val="40"/>
          <w:lang w:val="en-US" w:eastAsia="zh-CN"/>
        </w:rPr>
        <w:t>突出评估的激励作用和约束作用，强化评估结果使用和督导复查，评价结果供“双一流”建设成效评价、学科评估共享使用，为教育行政部门决策、精准开展工作提供参考。</w:t>
      </w:r>
    </w:p>
    <w:p w14:paraId="7761DAD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四、新一轮审核评估指导思想是什么？</w:t>
      </w:r>
    </w:p>
    <w:p w14:paraId="0D969C7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坚持以习近平新时代中国特色社会主义思想为指导，全面贯彻落实党的教育方针，坚持教育为人民服务、为中国共产党治国理政服务、为巩固和发展中国特色社会主义制度服务、为改革开放和社会主义现代化建设服务。全面落实立德树人根本任务，坚决破除“五唯”顽瘴痼疾，扭转不科学教育评价导向，确保人才培养中心地位和本科教育教学核心地位。推进评估分类，以评促建、以评促改、以评促管、以评促强，推动高校积极构建自觉、自省、自律、自查、自纠的大学质量文化，建立健全中国特色、世界水平的本科教育教学质量保障体系，引导高校内涵发展、特色发展、创新发展，培养德智体美劳全面发展的社会主义建设者和接班人。</w:t>
      </w:r>
    </w:p>
    <w:p w14:paraId="43C6F0B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五、新一轮审核评估基本原则是什么？</w:t>
      </w:r>
    </w:p>
    <w:p w14:paraId="4A0646A7">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一是坚持立德树人</w:t>
      </w:r>
      <w:r>
        <w:rPr>
          <w:rFonts w:hint="eastAsia" w:ascii="仿宋_GB2312" w:hAnsi="仿宋_GB2312" w:eastAsia="仿宋_GB2312" w:cs="仿宋_GB2312"/>
          <w:color w:val="auto"/>
          <w:sz w:val="32"/>
          <w:szCs w:val="40"/>
          <w:lang w:val="en-US" w:eastAsia="zh-CN"/>
        </w:rPr>
        <w:t>。把牢社会主义办学方向，构建以立德树人成效为根本标准的评估体系，加强对学校办学方向、育人过程、学生发展、质量保障体系等方面的审核，引导高校构建“三全育人”格局。</w:t>
      </w:r>
    </w:p>
    <w:p w14:paraId="439F864D">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二是坚持推进改革。</w:t>
      </w:r>
      <w:r>
        <w:rPr>
          <w:rFonts w:hint="eastAsia" w:ascii="仿宋_GB2312" w:hAnsi="仿宋_GB2312" w:eastAsia="仿宋_GB2312" w:cs="仿宋_GB2312"/>
          <w:color w:val="auto"/>
          <w:sz w:val="32"/>
          <w:szCs w:val="40"/>
          <w:lang w:val="en-US" w:eastAsia="zh-CN"/>
        </w:rPr>
        <w:t>紧扣本科教育教学改革主线，落实“以本为本”“四个回归”，强化学生中心、产出导向、持续改进，以评估理念引领改革、以评估举措落实改革、以评估标准检验改革，实现高质量内涵式发展。</w:t>
      </w:r>
    </w:p>
    <w:p w14:paraId="22D29987">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三是坚持分类指导。</w:t>
      </w:r>
      <w:r>
        <w:rPr>
          <w:rFonts w:hint="eastAsia" w:ascii="仿宋_GB2312" w:hAnsi="仿宋_GB2312" w:eastAsia="仿宋_GB2312" w:cs="仿宋_GB2312"/>
          <w:color w:val="auto"/>
          <w:sz w:val="32"/>
          <w:szCs w:val="40"/>
          <w:lang w:val="en-US" w:eastAsia="zh-CN"/>
        </w:rPr>
        <w:t>适应高等教育多样化发展需求，依据不同层次不同类型高校办学定位、培养目标、教育教学水平和质量保障体系建设情况，实施分类评价、精准评价，引导和激励高校各展所长、特色发展。</w:t>
      </w:r>
    </w:p>
    <w:p w14:paraId="5F34B7FC">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四是坚持问题导向。</w:t>
      </w:r>
      <w:r>
        <w:rPr>
          <w:rFonts w:hint="eastAsia" w:ascii="仿宋_GB2312" w:hAnsi="仿宋_GB2312" w:eastAsia="仿宋_GB2312" w:cs="仿宋_GB2312"/>
          <w:color w:val="auto"/>
          <w:sz w:val="32"/>
          <w:szCs w:val="40"/>
          <w:lang w:val="en-US" w:eastAsia="zh-CN"/>
        </w:rPr>
        <w:t>建立“问题清单”，严把高校正确办学方向，落实本科人才培养底线要求，提出改进发展意见，强化评估结果使用和督导复查，推动高校落实主体责任、建立持续改进长效机制，培育践行高校质量文化。</w:t>
      </w:r>
    </w:p>
    <w:p w14:paraId="5771C325">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五是坚持方法创新。</w:t>
      </w:r>
      <w:r>
        <w:rPr>
          <w:rFonts w:hint="eastAsia" w:ascii="仿宋_GB2312" w:hAnsi="仿宋_GB2312" w:eastAsia="仿宋_GB2312" w:cs="仿宋_GB2312"/>
          <w:color w:val="auto"/>
          <w:sz w:val="32"/>
          <w:szCs w:val="40"/>
          <w:lang w:val="en-US" w:eastAsia="zh-CN"/>
        </w:rPr>
        <w:t>综合运用互联网、大数据、人工智能等现代信息技术手段，深度挖掘常态监测数据，采取线上与入校结合、定性与定量结合、明察与暗访结合等方式，切实减轻高校负担，提高工作实效。</w:t>
      </w:r>
    </w:p>
    <w:p w14:paraId="3909058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六、新一轮审核评估工作重点？</w:t>
      </w:r>
    </w:p>
    <w:p w14:paraId="650DC08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坚持问题导向和需求导向，着力解决中央和教育部党组关心、群众关切、社会关注的问题。针对不同层次、不同类型高校办学目标和服务面向，实行分类施策、精准评价。突出评估诊断功能，当好“医生”和“教练”，强化评估结果使用，促进高校建立健全内部质量保障体系。创新评估方式方法，充分运用现代信息技术手段，采取线上与入校结合、定性与定量结合、明察与暗访结合，实现减负增效。</w:t>
      </w:r>
    </w:p>
    <w:p w14:paraId="76DF0DE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七、新一轮审核评估工作目标？</w:t>
      </w:r>
    </w:p>
    <w:p w14:paraId="7C80B77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强调把</w:t>
      </w:r>
      <w:r>
        <w:rPr>
          <w:rFonts w:hint="eastAsia" w:ascii="仿宋_GB2312" w:hAnsi="仿宋_GB2312" w:eastAsia="仿宋_GB2312" w:cs="仿宋_GB2312"/>
          <w:b/>
          <w:bCs/>
          <w:color w:val="auto"/>
          <w:sz w:val="32"/>
          <w:szCs w:val="40"/>
          <w:lang w:val="en-US" w:eastAsia="zh-CN"/>
        </w:rPr>
        <w:t>“一根本、两突出、三强化、五个度”</w:t>
      </w:r>
      <w:r>
        <w:rPr>
          <w:rFonts w:hint="eastAsia" w:ascii="仿宋_GB2312" w:hAnsi="仿宋_GB2312" w:eastAsia="仿宋_GB2312" w:cs="仿宋_GB2312"/>
          <w:color w:val="auto"/>
          <w:sz w:val="32"/>
          <w:szCs w:val="40"/>
          <w:lang w:val="en-US" w:eastAsia="zh-CN"/>
        </w:rPr>
        <w:t>作为新一轮审核评估的共同愿景和价值追求。</w:t>
      </w:r>
    </w:p>
    <w:p w14:paraId="0F3531E5">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一根本</w:t>
      </w:r>
      <w:r>
        <w:rPr>
          <w:rFonts w:hint="eastAsia" w:ascii="仿宋_GB2312" w:hAnsi="仿宋_GB2312" w:eastAsia="仿宋_GB2312" w:cs="仿宋_GB2312"/>
          <w:color w:val="auto"/>
          <w:sz w:val="32"/>
          <w:szCs w:val="40"/>
          <w:lang w:val="en-US" w:eastAsia="zh-CN"/>
        </w:rPr>
        <w:t>：即全面落实立德树人根本任务，建立健全立德树人落实机制，把立德树人成效作为检验学校一切工作根本标准。</w:t>
      </w:r>
    </w:p>
    <w:p w14:paraId="45F2093D">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两突出</w:t>
      </w:r>
      <w:r>
        <w:rPr>
          <w:rFonts w:hint="eastAsia" w:ascii="仿宋_GB2312" w:hAnsi="仿宋_GB2312" w:eastAsia="仿宋_GB2312" w:cs="仿宋_GB2312"/>
          <w:color w:val="auto"/>
          <w:sz w:val="32"/>
          <w:szCs w:val="40"/>
          <w:lang w:val="en-US" w:eastAsia="zh-CN"/>
        </w:rPr>
        <w:t>：即突出“以本为本”，确保本科教育教学核心地位；突出“四个回归”，落实“三个不合格”“八个首先”有关要求，引导高校“五育”并举倾心培养时代新人。</w:t>
      </w:r>
    </w:p>
    <w:p w14:paraId="2E3A14F0">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三强化</w:t>
      </w:r>
      <w:r>
        <w:rPr>
          <w:rFonts w:hint="eastAsia" w:ascii="仿宋_GB2312" w:hAnsi="仿宋_GB2312" w:eastAsia="仿宋_GB2312" w:cs="仿宋_GB2312"/>
          <w:color w:val="auto"/>
          <w:sz w:val="32"/>
          <w:szCs w:val="40"/>
          <w:lang w:val="en-US" w:eastAsia="zh-CN"/>
        </w:rPr>
        <w:t>：即以学生发展为本位，强化学生中心、产出导向、持续改进，推动人才培养范式从“以教为中心”向“以学为中心”转变。</w:t>
      </w:r>
    </w:p>
    <w:p w14:paraId="722A8C93">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五个度</w:t>
      </w:r>
      <w:r>
        <w:rPr>
          <w:rFonts w:hint="eastAsia" w:ascii="仿宋_GB2312" w:hAnsi="仿宋_GB2312" w:eastAsia="仿宋_GB2312" w:cs="仿宋_GB2312"/>
          <w:color w:val="auto"/>
          <w:sz w:val="32"/>
          <w:szCs w:val="40"/>
          <w:lang w:val="en-US" w:eastAsia="zh-CN"/>
        </w:rPr>
        <w:t>：即注重人才培养目标的达成度、社会需求的适应度、师资和条件的保障度、质量保障运行的有效度、学生和用人单位的满意度。</w:t>
      </w:r>
    </w:p>
    <w:p w14:paraId="3E1524C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八、新一轮审核评估在方式方法上有哪些创新？</w:t>
      </w:r>
    </w:p>
    <w:p w14:paraId="183B660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新一轮审核评估创新评估方式方法，充分运用现代信息技术手段，优化评估流程、实现一校一案、强化多元评价、落实减负增效。</w:t>
      </w:r>
    </w:p>
    <w:p w14:paraId="472B5CDD">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一是增加线上评估环节，优化评估流程。</w:t>
      </w:r>
      <w:r>
        <w:rPr>
          <w:rFonts w:hint="eastAsia" w:ascii="仿宋_GB2312" w:hAnsi="仿宋_GB2312" w:eastAsia="仿宋_GB2312" w:cs="仿宋_GB2312"/>
          <w:color w:val="auto"/>
          <w:sz w:val="32"/>
          <w:szCs w:val="40"/>
          <w:lang w:val="en-US" w:eastAsia="zh-CN"/>
        </w:rPr>
        <w:t>综合运用互联网、大数据、人工智能等现代信息技术手段，实行线上与入校评估“一体化”设计，充分发挥线上评估考察优势，“做全做深”线上评估、“做准做实”入校评估，线上评估与入校评估相结合，让评估流程“优起来”。</w:t>
      </w:r>
    </w:p>
    <w:p w14:paraId="26977580">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二是定性定量评价相结合，实现一校一案。</w:t>
      </w:r>
      <w:r>
        <w:rPr>
          <w:rFonts w:hint="eastAsia" w:ascii="仿宋_GB2312" w:hAnsi="仿宋_GB2312" w:eastAsia="仿宋_GB2312" w:cs="仿宋_GB2312"/>
          <w:color w:val="auto"/>
          <w:sz w:val="32"/>
          <w:szCs w:val="40"/>
          <w:lang w:val="en-US" w:eastAsia="zh-CN"/>
        </w:rPr>
        <w:t>“两类四种”评估方案中，模块化设计定性指标、弹性设置定量指标，设置必选项和可选项，兜底线、促特色，尊重学校自主选择权和专家专业裁量权，与学校一起制定“个性化”评估考察方案，实现一校一案，让组织实施选择权“落下来”。</w:t>
      </w:r>
    </w:p>
    <w:p w14:paraId="64D9EA6E">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三是注重常态化资源运用，落实减负增效。</w:t>
      </w:r>
      <w:r>
        <w:rPr>
          <w:rFonts w:hint="eastAsia" w:ascii="仿宋_GB2312" w:hAnsi="仿宋_GB2312" w:eastAsia="仿宋_GB2312" w:cs="仿宋_GB2312"/>
          <w:color w:val="auto"/>
          <w:sz w:val="32"/>
          <w:szCs w:val="40"/>
          <w:lang w:val="en-US" w:eastAsia="zh-CN"/>
        </w:rPr>
        <w:t>深挖常态监测数据，充分利用高等教育质量监测国家数据平台（以下简称“国家数据平台”）和年度就业质量数据生成数据报告；精简入校评估专家人数、天数、环节；免于评估考察已通过教育部认证（评估）并在有效期内的专业（课程）；多措并举避免重复工作，让评估负担“减下来”。</w:t>
      </w:r>
    </w:p>
    <w:p w14:paraId="44E29B8D">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四是丰富评估视角，强化多元评价。</w:t>
      </w:r>
      <w:r>
        <w:rPr>
          <w:rFonts w:hint="eastAsia" w:ascii="仿宋_GB2312" w:hAnsi="仿宋_GB2312" w:eastAsia="仿宋_GB2312" w:cs="仿宋_GB2312"/>
          <w:color w:val="auto"/>
          <w:sz w:val="32"/>
          <w:szCs w:val="40"/>
          <w:lang w:val="en-US" w:eastAsia="zh-CN"/>
        </w:rPr>
        <w:t>构建了“1+3+3”校内外多维立体综合评价体系，分别从常态资源、学校、教师、在校生、毕业生和用人单位等多元多维视角进行评价，让评价体系“立起来”。</w:t>
      </w:r>
    </w:p>
    <w:p w14:paraId="2F1DB1F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九、新一轮审核评估有什么突出特点？</w:t>
      </w:r>
    </w:p>
    <w:p w14:paraId="5632AA7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新一轮审核评估紧扣上轮评估存在的短板及新时代本科教育要求进行优化改进，回应政府关切、社会关注、高校关心的热点难点问题。</w:t>
      </w:r>
    </w:p>
    <w:p w14:paraId="24A41001">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一是立德树人导向更加鲜明</w:t>
      </w:r>
      <w:r>
        <w:rPr>
          <w:rFonts w:hint="eastAsia" w:ascii="仿宋_GB2312" w:hAnsi="仿宋_GB2312" w:eastAsia="仿宋_GB2312" w:cs="仿宋_GB2312"/>
          <w:color w:val="auto"/>
          <w:sz w:val="32"/>
          <w:szCs w:val="40"/>
          <w:lang w:val="en-US" w:eastAsia="zh-CN"/>
        </w:rPr>
        <w:t>。针对高校落实立德树人“软、弱、碎”，思想政治工作体系还没有完全贯通到教学体系、教材体系、管理体系的问题，《方案》坚持党的全面领导和立德树人指导思想，把立德树人融入评估全过程、全方位，强化立德树人基础、指标和制度建设，建立立德树人负面清单，加强学校办学方向、育人过程、学生发展等方面的审核，引导高校构建“三全育人”格局，坚持“以本为本”、落实“四个回归”，强化教育教学内涵建设和质量文化，真正让立德树人落地生根。</w:t>
      </w:r>
    </w:p>
    <w:p w14:paraId="49A2CAE1">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二是坚决破除“五唯”顽疾。</w:t>
      </w:r>
      <w:r>
        <w:rPr>
          <w:rFonts w:hint="eastAsia" w:ascii="仿宋_GB2312" w:hAnsi="仿宋_GB2312" w:eastAsia="仿宋_GB2312" w:cs="仿宋_GB2312"/>
          <w:color w:val="auto"/>
          <w:sz w:val="32"/>
          <w:szCs w:val="40"/>
          <w:lang w:val="en-US" w:eastAsia="zh-CN"/>
        </w:rPr>
        <w:t>针对高校在科研评价和人才评价方面存在的“五唯”顽疾，《方案》全面加强办学方向、育人过程、学生发展、质量保障体系建设等方面的审核，引导教师潜心教书、安心育人。定量评价与定性评价结合，注重“帽子”教师对本科人才培养的贡献，强化多元主体评价，从不同角度了解在校生学习体验和学校人才培养情况。</w:t>
      </w:r>
    </w:p>
    <w:p w14:paraId="388055BA">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三是积极探索分类评价。</w:t>
      </w:r>
      <w:r>
        <w:rPr>
          <w:rFonts w:hint="eastAsia" w:ascii="仿宋_GB2312" w:hAnsi="仿宋_GB2312" w:eastAsia="仿宋_GB2312" w:cs="仿宋_GB2312"/>
          <w:color w:val="auto"/>
          <w:sz w:val="32"/>
          <w:szCs w:val="40"/>
          <w:lang w:val="en-US" w:eastAsia="zh-CN"/>
        </w:rPr>
        <w:t>针对上一轮审核评估在坚持“用自己的尺子量自己”方面存在国家尺子过粗、高校自设尺子不清晰的问题，围绕普及化阶段高等教育多样化需求，新一轮审核评估采取柔性分类方法，按类型把尺子做细，提供两类四种“评估套餐”，引导一批高校定位于世界一流，推动一批高校定位于培养学术型人才，促进一批高校定位于培养应用型人才。同类型常模比较长短，高校可以自主选择不同类型的常模数据作比较分析，从而进一步找准所处坐标和发展方向。</w:t>
      </w:r>
    </w:p>
    <w:p w14:paraId="2496397E">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四是大幅减轻评估负担。</w:t>
      </w:r>
      <w:r>
        <w:rPr>
          <w:rFonts w:hint="eastAsia" w:ascii="仿宋_GB2312" w:hAnsi="仿宋_GB2312" w:eastAsia="仿宋_GB2312" w:cs="仿宋_GB2312"/>
          <w:color w:val="auto"/>
          <w:sz w:val="32"/>
          <w:szCs w:val="40"/>
          <w:lang w:val="en-US" w:eastAsia="zh-CN"/>
        </w:rPr>
        <w:t>针对上一轮审核评估存在审核指标多、环节多、时间长的问题，《方案》坚持减轻评估负担，增强评估效能。充分利用信息化手段，实行线上线下评估“一体化”，精简入校评估专家人数、天数、环节，采信已通过教育部认证（评估）并在有效期内的专业（课程），让评估负担“减下来”。打造菜单式、可定制的评估工具，与学校一起制定“个性化”评估考察方案，让组织实施选择权“落下来”。</w:t>
      </w:r>
    </w:p>
    <w:p w14:paraId="4AC4878B">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五是突出评估结果使用。</w:t>
      </w:r>
      <w:r>
        <w:rPr>
          <w:rFonts w:hint="eastAsia" w:ascii="仿宋_GB2312" w:hAnsi="仿宋_GB2312" w:eastAsia="仿宋_GB2312" w:cs="仿宋_GB2312"/>
          <w:color w:val="auto"/>
          <w:sz w:val="32"/>
          <w:szCs w:val="40"/>
          <w:lang w:val="en-US" w:eastAsia="zh-CN"/>
        </w:rPr>
        <w:t>强化评估整改，让新一轮审核评估“长牙齿”。把上轮评估整改情况作为申请受理门槛条件，列出问题清单，咬住问题清单一纠到底，建立“回头看”随机督导复查机制，对整改期内突破办学规范和办学条件底线的高校，采取约谈负责人等问责措施，切实让评估整改“硬起来”。</w:t>
      </w:r>
    </w:p>
    <w:p w14:paraId="6658B27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黑体" w:hAnsi="黑体" w:eastAsia="黑体" w:cs="黑体"/>
          <w:color w:val="auto"/>
          <w:sz w:val="32"/>
          <w:szCs w:val="40"/>
          <w:lang w:val="en-US" w:eastAsia="zh-CN"/>
        </w:rPr>
        <w:t>十、新一轮审核评估“破五唯、立新标”有哪些举措</w:t>
      </w:r>
      <w:r>
        <w:rPr>
          <w:rFonts w:hint="eastAsia" w:ascii="仿宋_GB2312" w:hAnsi="仿宋_GB2312" w:eastAsia="仿宋_GB2312" w:cs="仿宋_GB2312"/>
          <w:color w:val="auto"/>
          <w:sz w:val="32"/>
          <w:szCs w:val="40"/>
          <w:lang w:val="en-US" w:eastAsia="zh-CN"/>
        </w:rPr>
        <w:t>？</w:t>
      </w:r>
    </w:p>
    <w:p w14:paraId="35AAA6A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新一轮审核评估坚持破立并举，将破除“五唯”顽瘴痼疾作为考察重点，提出构建以立德树人成效为根本标准的评估体系，在评估工作中旗帜鲜明地强调立德树人评估导向，加强对办学方向、育人过程、学生发展、质量保障体系等方面的考察。</w:t>
      </w:r>
      <w:r>
        <w:rPr>
          <w:rFonts w:hint="eastAsia" w:ascii="仿宋_GB2312" w:hAnsi="仿宋_GB2312" w:eastAsia="仿宋_GB2312" w:cs="仿宋_GB2312"/>
          <w:b/>
          <w:bCs/>
          <w:color w:val="auto"/>
          <w:sz w:val="32"/>
          <w:szCs w:val="40"/>
          <w:lang w:val="en-US" w:eastAsia="zh-CN"/>
        </w:rPr>
        <w:t>一是强化学校内涵评价，定量评价与定性评价结合，避免单纯根据量化指标判断学校教育教学水平。</w:t>
      </w:r>
      <w:r>
        <w:rPr>
          <w:rFonts w:hint="eastAsia" w:ascii="仿宋_GB2312" w:hAnsi="仿宋_GB2312" w:eastAsia="仿宋_GB2312" w:cs="仿宋_GB2312"/>
          <w:color w:val="auto"/>
          <w:sz w:val="32"/>
          <w:szCs w:val="40"/>
          <w:lang w:val="en-US" w:eastAsia="zh-CN"/>
        </w:rPr>
        <w:t>在办学指导思想上，考察学校是否确立立德树人中心地位；在育人机制上，重点考察学校是否形成“三全育人”合力；在领导体制上，重点考察学校是否确保党的全面领导。</w:t>
      </w:r>
      <w:r>
        <w:rPr>
          <w:rFonts w:hint="eastAsia" w:ascii="仿宋_GB2312" w:hAnsi="仿宋_GB2312" w:eastAsia="仿宋_GB2312" w:cs="仿宋_GB2312"/>
          <w:b/>
          <w:bCs/>
          <w:color w:val="auto"/>
          <w:sz w:val="32"/>
          <w:szCs w:val="40"/>
          <w:lang w:val="en-US" w:eastAsia="zh-CN"/>
        </w:rPr>
        <w:t>二是改革对教师的评价，推进教师践行教书育人使命。坚持把师德师风作为评价第一标准。</w:t>
      </w:r>
      <w:r>
        <w:rPr>
          <w:rFonts w:hint="eastAsia" w:ascii="仿宋_GB2312" w:hAnsi="仿宋_GB2312" w:eastAsia="仿宋_GB2312" w:cs="仿宋_GB2312"/>
          <w:color w:val="auto"/>
          <w:sz w:val="32"/>
          <w:szCs w:val="40"/>
          <w:lang w:val="en-US" w:eastAsia="zh-CN"/>
        </w:rPr>
        <w:t>强化高水平教师投入评价，不是看“帽子”教师数量，而是注重其对本科人才培养的贡献。注重凭实绩、能力和贡献评价教师，推进人才称号回归学术性、荣誉性，突出教书育人实绩。</w:t>
      </w:r>
      <w:r>
        <w:rPr>
          <w:rFonts w:hint="eastAsia" w:ascii="仿宋_GB2312" w:hAnsi="仿宋_GB2312" w:eastAsia="仿宋_GB2312" w:cs="仿宋_GB2312"/>
          <w:b/>
          <w:bCs/>
          <w:color w:val="auto"/>
          <w:sz w:val="32"/>
          <w:szCs w:val="40"/>
          <w:lang w:val="en-US" w:eastAsia="zh-CN"/>
        </w:rPr>
        <w:t>三是强化学生学习效果评价，强化学生中心、产出导向、持续改进理念，</w:t>
      </w:r>
      <w:r>
        <w:rPr>
          <w:rFonts w:hint="eastAsia" w:ascii="仿宋_GB2312" w:hAnsi="仿宋_GB2312" w:eastAsia="仿宋_GB2312" w:cs="仿宋_GB2312"/>
          <w:color w:val="auto"/>
          <w:sz w:val="32"/>
          <w:szCs w:val="40"/>
          <w:lang w:val="en-US" w:eastAsia="zh-CN"/>
        </w:rPr>
        <w:t>重点关注学生“学会什么”，引导教师投入教学，增强学生学习体验感、获得感，从重结果评价向重过程评价、增值评价、综合评价转变，完善德育、体育、美育、劳动教育评价。</w:t>
      </w:r>
      <w:r>
        <w:rPr>
          <w:rFonts w:hint="eastAsia" w:ascii="仿宋_GB2312" w:hAnsi="仿宋_GB2312" w:eastAsia="仿宋_GB2312" w:cs="仿宋_GB2312"/>
          <w:b/>
          <w:bCs/>
          <w:color w:val="auto"/>
          <w:sz w:val="32"/>
          <w:szCs w:val="40"/>
          <w:lang w:val="en-US" w:eastAsia="zh-CN"/>
        </w:rPr>
        <w:t>四是强化多元主体评价，</w:t>
      </w:r>
      <w:r>
        <w:rPr>
          <w:rFonts w:hint="eastAsia" w:ascii="仿宋_GB2312" w:hAnsi="仿宋_GB2312" w:eastAsia="仿宋_GB2312" w:cs="仿宋_GB2312"/>
          <w:color w:val="auto"/>
          <w:sz w:val="32"/>
          <w:szCs w:val="40"/>
          <w:lang w:val="en-US" w:eastAsia="zh-CN"/>
        </w:rPr>
        <w:t>建立行业、企业深度参与评估机制和境外专家、青年教师、学生参与评估机制，从不同角度了解和评价学校人才培养质量状况。</w:t>
      </w:r>
    </w:p>
    <w:p w14:paraId="7B23993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b w:val="0"/>
          <w:bCs w:val="0"/>
          <w:color w:val="auto"/>
          <w:sz w:val="32"/>
          <w:szCs w:val="40"/>
          <w:lang w:val="en-US" w:eastAsia="zh-CN"/>
        </w:rPr>
      </w:pPr>
      <w:r>
        <w:rPr>
          <w:rFonts w:hint="eastAsia" w:ascii="黑体" w:hAnsi="黑体" w:eastAsia="黑体" w:cs="黑体"/>
          <w:b w:val="0"/>
          <w:bCs w:val="0"/>
          <w:color w:val="auto"/>
          <w:sz w:val="32"/>
          <w:szCs w:val="40"/>
          <w:lang w:val="en-US" w:eastAsia="zh-CN"/>
        </w:rPr>
        <w:t>十一、新一轮审核评估如何强化持续改进？</w:t>
      </w:r>
    </w:p>
    <w:p w14:paraId="72B593B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新一轮审核评估明确了5年一轮的周期性评估制度，强化持续改进，让审核评估“长牙齿”。一方面把上轮审核评估整改情况作为申请受理的门槛条件之一，另一方面增设审核评估问题清单，特别针对全面排查出的本科教育教学薄弱环节及主要问题，采取“台账销号”方式一抓到底，限期整改。建立“回头看”随机督导复查机制，对整改期内突破办学规范和办学条件底线的高校，采取约谈高校负责人等问责措施，增强评估整改的硬度和刚性约束。</w:t>
      </w:r>
    </w:p>
    <w:p w14:paraId="0A1FC11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实行限期整改和持续改进机制的目的在于促进学校把新一轮审核评估与学校“十四五”规划及中长期规划的落实结合起来，把当前举措与长远发展结合起来。教育部和各省级教育行政部门以随机抽查的方式，对学校整改情况和关键办学指标进行督导复查，持续追踪整改进展，有助于压实学校评估整改主体责任，形成内外联动的“评价一反馈一改进”质量闭环，不断推动人才培养质量提升。</w:t>
      </w:r>
    </w:p>
    <w:p w14:paraId="2927984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十二、如何以审核评估推动本科教育教学改革？</w:t>
      </w:r>
    </w:p>
    <w:p w14:paraId="49D60AE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新一轮审核评估把有效推动本科教育教学改革作为主线不动摇，注重系统性、整体性、前瞻性、协同性综合改革，形成全局性改革成果。</w:t>
      </w:r>
    </w:p>
    <w:p w14:paraId="3AF72C48">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一是坚持以评估思想理念引导改革。</w:t>
      </w:r>
      <w:r>
        <w:rPr>
          <w:rFonts w:hint="eastAsia" w:ascii="仿宋_GB2312" w:hAnsi="仿宋_GB2312" w:eastAsia="仿宋_GB2312" w:cs="仿宋_GB2312"/>
          <w:color w:val="auto"/>
          <w:sz w:val="32"/>
          <w:szCs w:val="40"/>
          <w:lang w:val="en-US" w:eastAsia="zh-CN"/>
        </w:rPr>
        <w:t>坚持以评促建、以评促改、以评促管、以评促强，全面对接“学生中心、产出导向、持续改进”的国际先进理念，将其作为引领整个评估工作的核心理念。以学生发展为本，以激发学生的学习积极性和潜能、刻苦学习为提高人才培养质量的核心要素，强调教育产出质量，以质量保障机制和能力为评估重点，促进学校及时发现问题并持续改进。</w:t>
      </w:r>
    </w:p>
    <w:p w14:paraId="59436FBA">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二是坚持以评估要点指标推动改革。</w:t>
      </w:r>
      <w:r>
        <w:rPr>
          <w:rFonts w:hint="eastAsia" w:ascii="仿宋_GB2312" w:hAnsi="仿宋_GB2312" w:eastAsia="仿宋_GB2312" w:cs="仿宋_GB2312"/>
          <w:color w:val="auto"/>
          <w:sz w:val="32"/>
          <w:szCs w:val="40"/>
          <w:lang w:val="en-US" w:eastAsia="zh-CN"/>
        </w:rPr>
        <w:t>坚持对标新时代本科教育质量要求，加强对思政教育、本科地位、学生发展、卓越教学、双创教育等方面的审核，衔接“双一流”建设监测指标，引领本科教育教学综合改革创新，让教学改革“动起来”，推进高校在体制机制改革、课程体系改革、教学方法改革等重点领域取得改革新进展，实现改革新突破。</w:t>
      </w:r>
    </w:p>
    <w:p w14:paraId="4E0DD845">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三是坚持以评估政策资源支持改革。</w:t>
      </w:r>
      <w:r>
        <w:rPr>
          <w:rFonts w:hint="eastAsia" w:ascii="仿宋_GB2312" w:hAnsi="仿宋_GB2312" w:eastAsia="仿宋_GB2312" w:cs="仿宋_GB2312"/>
          <w:color w:val="auto"/>
          <w:sz w:val="32"/>
          <w:szCs w:val="40"/>
          <w:lang w:val="en-US" w:eastAsia="zh-CN"/>
        </w:rPr>
        <w:t>增设审核评估问题清单，特别针对全面排查出的本科教育教学薄弱环节及主要问题，采取“台帐销号”方式一抓到底。实行限期整改，落实督查督办和问责制度，教育部和各省级教育行政部门以随机抽取的方式，对高校整改情况和关键办学指标进行督导复查，持续追踪整改进展。开展本科教育教学示范案例收集和推广，帮助其他高校提升本科教育教学质量。</w:t>
      </w:r>
    </w:p>
    <w:p w14:paraId="3CD25D6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十三、如何理解线上与入校“一体化”评估？</w:t>
      </w:r>
    </w:p>
    <w:p w14:paraId="067A63B9">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线上评估与入校评估“一体化”设计是新一轮审核评估制度设计的核心和关键</w:t>
      </w:r>
      <w:r>
        <w:rPr>
          <w:rFonts w:hint="eastAsia" w:ascii="仿宋_GB2312" w:hAnsi="仿宋_GB2312" w:eastAsia="仿宋_GB2312" w:cs="仿宋_GB2312"/>
          <w:color w:val="auto"/>
          <w:sz w:val="32"/>
          <w:szCs w:val="40"/>
          <w:lang w:val="en-US" w:eastAsia="zh-CN"/>
        </w:rPr>
        <w:t>，不仅是评估方法手段上的创新，更是评估思想理念上的丰富和发展。线上评估本身就是评估，而不是评估前的准备阶段，只有准确把握定位和内涵，才能保障新一轮审核评估落地实施“不走样”。与上轮审核评估不同，新一轮审核评估增加线上评估环节，就是要充分发挥线上评估考察不受时间、空间限制的灵活优势，调动更多的专家资源、投入更多的时间精力，更加全面、深入对学校本科教育教学工作进行审核，与入校评估“1+1&gt;2”合力，进一步突显审核评估为学校发展“诊断开方”的初心。</w:t>
      </w:r>
    </w:p>
    <w:p w14:paraId="7C9CB55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十四、新一轮审核评估倡导“质量共同体”理念的初衷和用意是什么？</w:t>
      </w:r>
    </w:p>
    <w:p w14:paraId="16BA063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新一轮审核评估的宗旨是“对国家负责、为学校服务”，坚持</w:t>
      </w:r>
      <w:r>
        <w:rPr>
          <w:rFonts w:hint="eastAsia" w:ascii="仿宋_GB2312" w:hAnsi="仿宋_GB2312" w:eastAsia="仿宋_GB2312" w:cs="仿宋_GB2312"/>
          <w:b/>
          <w:bCs/>
          <w:color w:val="auto"/>
          <w:sz w:val="32"/>
          <w:szCs w:val="40"/>
          <w:lang w:val="en-US" w:eastAsia="zh-CN"/>
        </w:rPr>
        <w:t>“以评促建、以评促改、以评促管、以评促强”16字方针</w:t>
      </w:r>
      <w:r>
        <w:rPr>
          <w:rFonts w:hint="eastAsia" w:ascii="仿宋_GB2312" w:hAnsi="仿宋_GB2312" w:eastAsia="仿宋_GB2312" w:cs="仿宋_GB2312"/>
          <w:color w:val="auto"/>
          <w:sz w:val="32"/>
          <w:szCs w:val="40"/>
          <w:lang w:val="en-US" w:eastAsia="zh-CN"/>
        </w:rPr>
        <w:t>，既保证对国家负责、守好底线，又体现为学校服务，旨在引导督促高校遵循高等教育规律和本科人才培养规律，聚焦本科教育教学质量全面提升。从本质上看，新一轮审核评估不是要给高校划分等级，而是通过专家线上与入校“一体化”评估、校内与校外集体“会诊”，当好“医生”和“教练”，帮助学校找到真正的闪光点和存在的问题，服务学校高质量发展。</w:t>
      </w:r>
    </w:p>
    <w:p w14:paraId="5EFDFA9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整个评估过程倡导“质量共同体”理念，尊重高校的自主选择权和专家的专业裁量权，突出为高校提供诊断服务，而非“猫鼠游戏”。参评学校、评估专家、评估机构形成一个质量共同体，围绕高校本科教育教学质量共商共研、同题共答。一方面挖掘出影响和制约高校改革发展的瓶颈问题，另一方面发现高校本科教育教学改革的亮点特色，凸显评估的“指挥棒”作用，靶向服务高校高质量发展。</w:t>
      </w:r>
    </w:p>
    <w:p w14:paraId="3FE9708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十五、新一轮审核评估的评估对象及分类是什么？</w:t>
      </w:r>
    </w:p>
    <w:p w14:paraId="1BC3E448">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（一）评估对象</w:t>
      </w:r>
      <w:r>
        <w:rPr>
          <w:rFonts w:hint="eastAsia" w:ascii="仿宋_GB2312" w:hAnsi="仿宋_GB2312" w:eastAsia="仿宋_GB2312" w:cs="仿宋_GB2312"/>
          <w:color w:val="auto"/>
          <w:sz w:val="32"/>
          <w:szCs w:val="40"/>
          <w:lang w:val="en-US" w:eastAsia="zh-CN"/>
        </w:rPr>
        <w:t>。经国家正式批准独立设置的普通本科高校均应参加审核评估，其中：新建普通本科高校应先参加普通高等学校本科教学工作合格评估，原则上获得“通过”结论5年后方可参加本轮审核评估。</w:t>
      </w:r>
    </w:p>
    <w:p w14:paraId="4314D83D">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（二）评估分类</w:t>
      </w:r>
      <w:r>
        <w:rPr>
          <w:rFonts w:hint="eastAsia" w:ascii="仿宋_GB2312" w:hAnsi="仿宋_GB2312" w:eastAsia="仿宋_GB2312" w:cs="仿宋_GB2312"/>
          <w:color w:val="auto"/>
          <w:sz w:val="32"/>
          <w:szCs w:val="40"/>
          <w:lang w:val="en-US" w:eastAsia="zh-CN"/>
        </w:rPr>
        <w:t>。根据高等教育整体布局结构和高校办学定位、服务面向、发展实际，本轮审核评估分为两大类。高校可根据大学章程和发展规划，综合考虑各自办学定位、人才培养目标和质量保障体系建设情况等进行自主选择。</w:t>
      </w:r>
    </w:p>
    <w:p w14:paraId="3C186EF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 第一类审核评估针对具有世界一流办学目标、一流师资队伍和育人平台，培养一流拔尖创新人才，服务国家重大战略需求的普通本科高校。重点考察建设世界一流大学所必备的质量保障能力及本科教育教学综合改革举措与成效。</w:t>
      </w:r>
    </w:p>
    <w:p w14:paraId="7314655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2. 第二类审核评估针对高校的办学定位和办学历史不同，具体分为三种：一是适用于已参加过上轮审核评估，重点以学术型人才培养为主要方向的普通本科高校；二是适用于已参加过上轮审核评估，重点以应用型人才培养为主要方向的普通本科高校；三是适用于已通过合格评估5年以上，首次参加审核评估、本科办学历史较短的地方应用型普通本科高校。第二类审核评估重点考察高校本科人才培养目标定位、资源条件、培养过程、学生发展、教学成效等。</w:t>
      </w:r>
    </w:p>
    <w:p w14:paraId="7AB06E1B">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bCs/>
          <w:color w:val="auto"/>
          <w:sz w:val="32"/>
          <w:szCs w:val="40"/>
          <w:lang w:val="en-US" w:eastAsia="zh-CN"/>
        </w:rPr>
      </w:pPr>
      <w:r>
        <w:rPr>
          <w:rFonts w:hint="eastAsia" w:ascii="仿宋_GB2312" w:hAnsi="仿宋_GB2312" w:eastAsia="仿宋_GB2312" w:cs="仿宋_GB2312"/>
          <w:b/>
          <w:bCs/>
          <w:color w:val="auto"/>
          <w:sz w:val="32"/>
          <w:szCs w:val="40"/>
          <w:lang w:val="en-US" w:eastAsia="zh-CN"/>
        </w:rPr>
        <w:t>我校此次申报参加第二类审核评估第二种方案。</w:t>
      </w:r>
    </w:p>
    <w:p w14:paraId="081C5A7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黑体" w:hAnsi="黑体" w:eastAsia="黑体" w:cs="黑体"/>
          <w:color w:val="auto"/>
          <w:sz w:val="32"/>
          <w:szCs w:val="40"/>
          <w:lang w:val="en-US" w:eastAsia="zh-CN"/>
        </w:rPr>
        <w:t>十六、新一轮审核评估指标体系的主要内容及特点有哪些</w:t>
      </w:r>
      <w:r>
        <w:rPr>
          <w:rFonts w:hint="eastAsia" w:ascii="仿宋_GB2312" w:hAnsi="仿宋_GB2312" w:eastAsia="仿宋_GB2312" w:cs="仿宋_GB2312"/>
          <w:color w:val="auto"/>
          <w:sz w:val="32"/>
          <w:szCs w:val="40"/>
          <w:lang w:val="en-US" w:eastAsia="zh-CN"/>
        </w:rPr>
        <w:t>？</w:t>
      </w:r>
    </w:p>
    <w:p w14:paraId="4A232F4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新一轮审核评估指标体系分为“两类四种”。第一类设一级指标4个、二级指标12个、审核重点38个；第二类设一级指标7个、二级指标27个、审核重点78个。具体特点如下：</w:t>
      </w:r>
    </w:p>
    <w:p w14:paraId="58198987">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一是分层分类设计指标体系。</w:t>
      </w:r>
      <w:r>
        <w:rPr>
          <w:rFonts w:hint="eastAsia" w:ascii="仿宋_GB2312" w:hAnsi="仿宋_GB2312" w:eastAsia="仿宋_GB2312" w:cs="仿宋_GB2312"/>
          <w:color w:val="auto"/>
          <w:sz w:val="32"/>
          <w:szCs w:val="40"/>
          <w:lang w:val="en-US" w:eastAsia="zh-CN"/>
        </w:rPr>
        <w:t>第一类审核评估少而精，适用于具有世界一流办学目标、一流师资队伍和育人平台，培养一流拔尖创新人才，服务国家重大战略需求的高校。第二类审核评估量大面广，细分为三种，分别适用于以学术型人才培养为主的高校、以应用型人才培养为主的高校、首次参加审核评估的高校。</w:t>
      </w:r>
    </w:p>
    <w:p w14:paraId="3D58B222">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二是突出本科教育教学关键点。</w:t>
      </w:r>
      <w:r>
        <w:rPr>
          <w:rFonts w:hint="eastAsia" w:ascii="仿宋_GB2312" w:hAnsi="仿宋_GB2312" w:eastAsia="仿宋_GB2312" w:cs="仿宋_GB2312"/>
          <w:color w:val="auto"/>
          <w:sz w:val="32"/>
          <w:szCs w:val="40"/>
          <w:lang w:val="en-US" w:eastAsia="zh-CN"/>
        </w:rPr>
        <w:t>设置思想政治教育、教授为本科生上课、生师比、生均课程门数、优势特色专业、学位论文（毕业设计）指导、学生管理与服务、学生参加社会实践、毕业生发展、用人单位满意度等审核重点，推动高校深化教育教学改革。</w:t>
      </w:r>
    </w:p>
    <w:p w14:paraId="2D3DE058">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三是定性指标与定量指标结合。</w:t>
      </w:r>
      <w:r>
        <w:rPr>
          <w:rFonts w:hint="eastAsia" w:ascii="仿宋_GB2312" w:hAnsi="仿宋_GB2312" w:eastAsia="仿宋_GB2312" w:cs="仿宋_GB2312"/>
          <w:color w:val="auto"/>
          <w:sz w:val="32"/>
          <w:szCs w:val="40"/>
          <w:lang w:val="en-US" w:eastAsia="zh-CN"/>
        </w:rPr>
        <w:t>指标体系注重兜底线、促发展，既体现国家意志，又给学校留足发展空间。模块化设计定性指标，首次设置统一必选项、类型必选项、特色可选项、首评限选项，由高校根据要求和办学实际自主选择。增加定量指标，设置必选项和可选项，必选项对标国家底线要求，可选项引导高校办出特色和水平。</w:t>
      </w:r>
    </w:p>
    <w:p w14:paraId="6F32382B">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四是监督高校办学“红线”问题。</w:t>
      </w:r>
      <w:r>
        <w:rPr>
          <w:rFonts w:hint="eastAsia" w:ascii="仿宋_GB2312" w:hAnsi="仿宋_GB2312" w:eastAsia="仿宋_GB2312" w:cs="仿宋_GB2312"/>
          <w:color w:val="auto"/>
          <w:sz w:val="32"/>
          <w:szCs w:val="40"/>
          <w:lang w:val="en-US" w:eastAsia="zh-CN"/>
        </w:rPr>
        <w:t>增设教师、学生出现思想政治、道德品质等负面问题能否及时发现和妥当处置情况，教材选用工作出现负面问题的处理情况等“负面清单”，加强对思想政治教育成效的审核评估。</w:t>
      </w:r>
    </w:p>
    <w:p w14:paraId="3C7BF32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十七、新一轮审核评估的“1+3+3”报告是什么？</w:t>
      </w:r>
    </w:p>
    <w:p w14:paraId="0BC7C6D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w:t>
      </w:r>
      <w:r>
        <w:rPr>
          <w:rFonts w:hint="eastAsia" w:ascii="仿宋_GB2312" w:hAnsi="仿宋_GB2312" w:eastAsia="仿宋_GB2312" w:cs="仿宋_GB2312"/>
          <w:b/>
          <w:bCs/>
          <w:color w:val="auto"/>
          <w:sz w:val="32"/>
          <w:szCs w:val="40"/>
          <w:lang w:val="en-US" w:eastAsia="zh-CN"/>
        </w:rPr>
        <w:t>《自评报告》</w:t>
      </w:r>
      <w:r>
        <w:rPr>
          <w:rFonts w:hint="eastAsia" w:ascii="仿宋_GB2312" w:hAnsi="仿宋_GB2312" w:eastAsia="仿宋_GB2312" w:cs="仿宋_GB2312"/>
          <w:color w:val="auto"/>
          <w:sz w:val="32"/>
          <w:szCs w:val="40"/>
          <w:lang w:val="en-US" w:eastAsia="zh-CN"/>
        </w:rPr>
        <w:t>是学校在评建工作的基础上，紧紧围绕审核评估指标，阐述本科人才培养目标定位、改革建设和人才培养成效而形成的反映评建结果的写实性报告。</w:t>
      </w:r>
    </w:p>
    <w:p w14:paraId="0CD09B9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3份过程性报告：</w:t>
      </w:r>
      <w:r>
        <w:rPr>
          <w:rFonts w:hint="eastAsia" w:ascii="仿宋_GB2312" w:hAnsi="仿宋_GB2312" w:eastAsia="仿宋_GB2312" w:cs="仿宋_GB2312"/>
          <w:b/>
          <w:bCs/>
          <w:color w:val="auto"/>
          <w:sz w:val="32"/>
          <w:szCs w:val="40"/>
          <w:lang w:val="en-US" w:eastAsia="zh-CN"/>
        </w:rPr>
        <w:t>《本科教学状态数据分析报告》</w:t>
      </w:r>
      <w:r>
        <w:rPr>
          <w:rFonts w:hint="eastAsia" w:ascii="仿宋_GB2312" w:hAnsi="仿宋_GB2312" w:eastAsia="仿宋_GB2312" w:cs="仿宋_GB2312"/>
          <w:color w:val="auto"/>
          <w:sz w:val="32"/>
          <w:szCs w:val="40"/>
          <w:lang w:val="en-US" w:eastAsia="zh-CN"/>
        </w:rPr>
        <w:t>是教育部评估中心以国家数据平台每年采集的本科教育教学数据为基础编制形成的报告，增加呈现学校连续三年的状态数据，同时提供多种常模，供参评学校自主选择、个性定制常模做对比分析，旨在帮助学校精准对标，科学决策，帮助评估专家从数据变化中查找学校工作中的亮点以及存在的问题和不足。</w:t>
      </w:r>
      <w:r>
        <w:rPr>
          <w:rFonts w:hint="eastAsia" w:ascii="仿宋_GB2312" w:hAnsi="仿宋_GB2312" w:eastAsia="仿宋_GB2312" w:cs="仿宋_GB2312"/>
          <w:b/>
          <w:bCs/>
          <w:color w:val="auto"/>
          <w:sz w:val="32"/>
          <w:szCs w:val="40"/>
          <w:lang w:val="en-US" w:eastAsia="zh-CN"/>
        </w:rPr>
        <w:t>《在校生学习体验调查报告》《教师教学体验调查报告》</w:t>
      </w:r>
      <w:r>
        <w:rPr>
          <w:rFonts w:hint="eastAsia" w:ascii="仿宋_GB2312" w:hAnsi="仿宋_GB2312" w:eastAsia="仿宋_GB2312" w:cs="仿宋_GB2312"/>
          <w:color w:val="auto"/>
          <w:sz w:val="32"/>
          <w:szCs w:val="40"/>
          <w:lang w:val="en-US" w:eastAsia="zh-CN"/>
        </w:rPr>
        <w:t>是面向参评学校以问卷调查的方式梳理形成的数据报告，聚焦影响本科教育教学和质量保障的过程性关键要素，从一线师生的视角检视学校本科教育教学和人才培养情况，形成与《自评报告》的印证比照，为专家评估提供佐证参考，为高校持续改进指引方向。</w:t>
      </w:r>
    </w:p>
    <w:p w14:paraId="2BD2612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3份结果性报告：</w:t>
      </w:r>
      <w:r>
        <w:rPr>
          <w:rFonts w:hint="eastAsia" w:ascii="仿宋_GB2312" w:hAnsi="仿宋_GB2312" w:eastAsia="仿宋_GB2312" w:cs="仿宋_GB2312"/>
          <w:b/>
          <w:bCs/>
          <w:color w:val="auto"/>
          <w:sz w:val="32"/>
          <w:szCs w:val="40"/>
          <w:lang w:val="en-US" w:eastAsia="zh-CN"/>
        </w:rPr>
        <w:t>《本科生就业数据分析报告》</w:t>
      </w:r>
      <w:r>
        <w:rPr>
          <w:rFonts w:hint="eastAsia" w:ascii="仿宋_GB2312" w:hAnsi="仿宋_GB2312" w:eastAsia="仿宋_GB2312" w:cs="仿宋_GB2312"/>
          <w:color w:val="auto"/>
          <w:sz w:val="32"/>
          <w:szCs w:val="40"/>
          <w:lang w:val="en-US" w:eastAsia="zh-CN"/>
        </w:rPr>
        <w:t>由教育部学生服务与素质发展中心从“全国高校毕业生就业管理系统”中提取数据进行分析，量化反映学校本科生就业整体情况，对高校就业工作进行常态监测。</w:t>
      </w:r>
      <w:r>
        <w:rPr>
          <w:rFonts w:hint="eastAsia" w:ascii="仿宋_GB2312" w:hAnsi="仿宋_GB2312" w:eastAsia="仿宋_GB2312" w:cs="仿宋_GB2312"/>
          <w:b/>
          <w:bCs/>
          <w:color w:val="auto"/>
          <w:sz w:val="32"/>
          <w:szCs w:val="40"/>
          <w:lang w:val="en-US" w:eastAsia="zh-CN"/>
        </w:rPr>
        <w:t>《本科毕业生跟踪调查报告》</w:t>
      </w:r>
      <w:r>
        <w:rPr>
          <w:rFonts w:hint="eastAsia" w:ascii="仿宋_GB2312" w:hAnsi="仿宋_GB2312" w:eastAsia="仿宋_GB2312" w:cs="仿宋_GB2312"/>
          <w:color w:val="auto"/>
          <w:sz w:val="32"/>
          <w:szCs w:val="40"/>
          <w:lang w:val="en-US" w:eastAsia="zh-CN"/>
        </w:rPr>
        <w:t>和</w:t>
      </w:r>
      <w:r>
        <w:rPr>
          <w:rFonts w:hint="eastAsia" w:ascii="仿宋_GB2312" w:hAnsi="仿宋_GB2312" w:eastAsia="仿宋_GB2312" w:cs="仿宋_GB2312"/>
          <w:b/>
          <w:bCs/>
          <w:color w:val="auto"/>
          <w:sz w:val="32"/>
          <w:szCs w:val="40"/>
          <w:lang w:val="en-US" w:eastAsia="zh-CN"/>
        </w:rPr>
        <w:t>《用人单位跟踪调查报告》</w:t>
      </w:r>
      <w:r>
        <w:rPr>
          <w:rFonts w:hint="eastAsia" w:ascii="仿宋_GB2312" w:hAnsi="仿宋_GB2312" w:eastAsia="仿宋_GB2312" w:cs="仿宋_GB2312"/>
          <w:color w:val="auto"/>
          <w:sz w:val="32"/>
          <w:szCs w:val="40"/>
          <w:lang w:val="en-US" w:eastAsia="zh-CN"/>
        </w:rPr>
        <w:t>分别从毕业生、用人单位角度量化反映学校本科毕业生就业情况，是人才培养目标达成度的外部评价结果。</w:t>
      </w:r>
    </w:p>
    <w:p w14:paraId="04D0D61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十八、学校应做好哪些新一轮审核评估相关材料的准备？</w:t>
      </w:r>
    </w:p>
    <w:p w14:paraId="3EE1AD5B">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基本材料。</w:t>
      </w:r>
      <w:r>
        <w:rPr>
          <w:rFonts w:hint="eastAsia" w:ascii="仿宋_GB2312" w:hAnsi="仿宋_GB2312" w:eastAsia="仿宋_GB2312" w:cs="仿宋_GB2312"/>
          <w:color w:val="auto"/>
          <w:sz w:val="32"/>
          <w:szCs w:val="40"/>
          <w:lang w:val="en-US" w:eastAsia="zh-CN"/>
        </w:rPr>
        <w:t>培养方案、教学管理规章制度、近3年学校教学质量报告、申请报告等应该作为评估的基本材料提前上传至评估系统，不能等到专家需要时再临时提交。</w:t>
      </w:r>
    </w:p>
    <w:p w14:paraId="5F8BB208">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教学档案。</w:t>
      </w:r>
      <w:r>
        <w:rPr>
          <w:rFonts w:hint="eastAsia" w:ascii="仿宋_GB2312" w:hAnsi="仿宋_GB2312" w:eastAsia="仿宋_GB2312" w:cs="仿宋_GB2312"/>
          <w:color w:val="auto"/>
          <w:sz w:val="32"/>
          <w:szCs w:val="40"/>
          <w:lang w:val="en-US" w:eastAsia="zh-CN"/>
        </w:rPr>
        <w:t>包括课程大纲、试卷、毕业论文（设计）、实习实践等过程性与终结性材料。教学档案按高校日常管理规定存放，无需做特殊的整理，应保证档案的原始性和真实性，在审核评估期间按要求上传，切忌突击整理和弄虚作假。</w:t>
      </w:r>
    </w:p>
    <w:p w14:paraId="3EAB43E2">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《自评报告》及支撑材料</w:t>
      </w:r>
      <w:r>
        <w:rPr>
          <w:rFonts w:hint="eastAsia" w:ascii="仿宋_GB2312" w:hAnsi="仿宋_GB2312" w:eastAsia="仿宋_GB2312" w:cs="仿宋_GB2312"/>
          <w:color w:val="auto"/>
          <w:sz w:val="32"/>
          <w:szCs w:val="40"/>
          <w:lang w:val="en-US" w:eastAsia="zh-CN"/>
        </w:rPr>
        <w:t>。《自评报告》等评估材料中的所有结论，应有充足的数据和事实支撑，不能只有结论，没有事实陈述和证明支撑。支撑材料是指用于支撑或证明《自评报告》等所述内容的相关材料，主要包括教学资料、学生学习档案、各类记录性材料、合作协议及其他佐证材料等。支撑材料以高校教学档案为基础，与教学档案有交叉的部分无需单独整理，按要求上传至评估系统，或提供材料索引以方便专家查找、审阅。</w:t>
      </w:r>
    </w:p>
    <w:p w14:paraId="28FF64B9">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引导性材料。</w:t>
      </w:r>
      <w:r>
        <w:rPr>
          <w:rFonts w:hint="eastAsia" w:ascii="仿宋_GB2312" w:hAnsi="仿宋_GB2312" w:eastAsia="仿宋_GB2312" w:cs="仿宋_GB2312"/>
          <w:color w:val="auto"/>
          <w:sz w:val="32"/>
          <w:szCs w:val="40"/>
          <w:lang w:val="en-US" w:eastAsia="zh-CN"/>
        </w:rPr>
        <w:t>主要包括高校职能部门、教学机构、实习实训基地和就业单位等材料，教学活动安排和人员名单，如校历、课程表、教师名单、学生名单等。</w:t>
      </w:r>
    </w:p>
    <w:p w14:paraId="3FE7C5E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十九、新一轮审核评估工作程序有哪些？</w:t>
      </w:r>
    </w:p>
    <w:p w14:paraId="2EF47920">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（一）评估申请。</w:t>
      </w:r>
      <w:r>
        <w:rPr>
          <w:rFonts w:hint="eastAsia" w:ascii="仿宋_GB2312" w:hAnsi="仿宋_GB2312" w:eastAsia="仿宋_GB2312" w:cs="仿宋_GB2312"/>
          <w:color w:val="auto"/>
          <w:sz w:val="32"/>
          <w:szCs w:val="40"/>
          <w:lang w:val="en-US" w:eastAsia="zh-CN"/>
        </w:rPr>
        <w:t>高校需向教育行政部门提出申请，包括选择评估类型和评估时间。中央部门所属高校（包括部省合建高校，下同）向教育部提出申请。地方高校向省级教育行政部门提出申请，其中申请参加第一类审核评估由省级教育行政部门向教育部推荐。</w:t>
      </w:r>
    </w:p>
    <w:p w14:paraId="7EE0EE6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教育部普通高等学校本科教育教学评估专家委员会（以下简称教育部评估专家委员会）审议第一类审核评估参评高校。</w:t>
      </w:r>
    </w:p>
    <w:p w14:paraId="23334469">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（二）学校自评。</w:t>
      </w:r>
      <w:r>
        <w:rPr>
          <w:rFonts w:hint="eastAsia" w:ascii="仿宋_GB2312" w:hAnsi="仿宋_GB2312" w:eastAsia="仿宋_GB2312" w:cs="仿宋_GB2312"/>
          <w:color w:val="auto"/>
          <w:sz w:val="32"/>
          <w:szCs w:val="40"/>
          <w:lang w:val="en-US" w:eastAsia="zh-CN"/>
        </w:rPr>
        <w:t>高校成立由主要负责人任组长的审核评估工作领导小组，落实主体责任，按要求参加评估培训，对照评估重点内容和指标体系，结合实际和上一轮评估整改情况，制订工作方案，全面深入开展自评工作，形成《自评报告》并公示。</w:t>
      </w:r>
    </w:p>
    <w:p w14:paraId="660784ED">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（三）专家评审。</w:t>
      </w:r>
      <w:r>
        <w:rPr>
          <w:rFonts w:hint="eastAsia" w:ascii="仿宋_GB2312" w:hAnsi="仿宋_GB2312" w:eastAsia="仿宋_GB2312" w:cs="仿宋_GB2312"/>
          <w:color w:val="auto"/>
          <w:sz w:val="32"/>
          <w:szCs w:val="40"/>
          <w:lang w:val="en-US" w:eastAsia="zh-CN"/>
        </w:rPr>
        <w:t>评估专家统一从全国审核评估专家库中产生，人数为15—21人。原则上，外省（区、市）专家人数不少于评估专家组人数的三分之二、专家组组长由外省（区、市）专家担任。线上评估时间为2-4周，专家组采取审阅材料、线上访谈、随机暗访等方式进行线上评估，在全面考察的基础上，提出需要入校深入考察的存疑问题，形成专家个人线上评估意见。专家组组长根据线上评估情况，确定5—9位入校评估专家，在2—4天内重点考察线上评估提出的存疑问题。综合线上评估和入校评估总体情况，制订问题清单，形成写实性《审核评估报告》。</w:t>
      </w:r>
    </w:p>
    <w:p w14:paraId="0E89478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通过教育部认证（评估）并在有效期内的专业（课程），免于评估考察，切实减轻高校负担。</w:t>
      </w:r>
    </w:p>
    <w:p w14:paraId="0B1F8ACC">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（四）反馈结论。</w:t>
      </w:r>
      <w:r>
        <w:rPr>
          <w:rFonts w:hint="eastAsia" w:ascii="仿宋_GB2312" w:hAnsi="仿宋_GB2312" w:eastAsia="仿宋_GB2312" w:cs="仿宋_GB2312"/>
          <w:color w:val="auto"/>
          <w:sz w:val="32"/>
          <w:szCs w:val="40"/>
          <w:lang w:val="en-US" w:eastAsia="zh-CN"/>
        </w:rPr>
        <w:t>教育部和各省级教育行政部门分别负责审议《审核评估报告》，通过后作为评估结论反馈高校，并在一定范围内公开。对于突破办学规范和办学条件底线等问题突出的高校，教育部和有关省级教育行政部门要采取约谈负责人、减少招生计划和限制新增本科专业备案等问责措施。教育部每年向社会公布完成审核评估的高校名单，并在完成评估的高校中征集本科教育教学示范案例，经教育部评估专家委员会审议后发布，做好经验推广、示范引领。</w:t>
      </w:r>
    </w:p>
    <w:p w14:paraId="60058CE3">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（五）限期整改。</w:t>
      </w:r>
      <w:r>
        <w:rPr>
          <w:rFonts w:hint="eastAsia" w:ascii="仿宋_GB2312" w:hAnsi="仿宋_GB2312" w:eastAsia="仿宋_GB2312" w:cs="仿宋_GB2312"/>
          <w:color w:val="auto"/>
          <w:sz w:val="32"/>
          <w:szCs w:val="40"/>
          <w:lang w:val="en-US" w:eastAsia="zh-CN"/>
        </w:rPr>
        <w:t>高校应在评估结论反馈30日内，制订并提交《整改方案》。评估整改坚持问题导向，找准问题原因，排查薄弱环节，提出解决举措，加强制度建设。建立整改工作台账，实行督查督办和问责制度，持续追踪整改进展，确保整改取得实效。原则上，高校需在两年内完成整改并提交《整改报告》。</w:t>
      </w:r>
    </w:p>
    <w:p w14:paraId="3E133F1A">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（六）督导复查。</w:t>
      </w:r>
      <w:r>
        <w:rPr>
          <w:rFonts w:hint="eastAsia" w:ascii="仿宋_GB2312" w:hAnsi="仿宋_GB2312" w:eastAsia="仿宋_GB2312" w:cs="仿宋_GB2312"/>
          <w:color w:val="auto"/>
          <w:sz w:val="32"/>
          <w:szCs w:val="40"/>
          <w:lang w:val="en-US" w:eastAsia="zh-CN"/>
        </w:rPr>
        <w:t>教育部和各省级教育行政部门以随机抽查的方式，对高校整改情况进行督导复查。对于评估整改落实不力、关键办学指标评估后下滑的高校，将采取约谈高校负责人、减少招生计划、限制新增本科专业备案和公开曝光等问责措施。</w:t>
      </w:r>
    </w:p>
    <w:p w14:paraId="4116392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 二十、审核评估专家重点关注什么问题？</w:t>
      </w:r>
    </w:p>
    <w:p w14:paraId="6637EF4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聚焦审核指标和审核重点的内涵要求深入查找参评学校存在的问题；列出问题清单重点分析和找出影响学校发展和人才培养质量的根本问题；学校教育教学工作中存在但自评中没有反映的问题；上轮评估和专业认证中专家指出过但尚没有完成整改的问题。</w:t>
      </w:r>
    </w:p>
    <w:p w14:paraId="559D676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二十一、审核评估专家常用的考察方法有哪些？</w:t>
      </w:r>
    </w:p>
    <w:p w14:paraId="5019ADF9">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深度访谈。</w:t>
      </w:r>
      <w:r>
        <w:rPr>
          <w:rFonts w:hint="eastAsia" w:ascii="仿宋_GB2312" w:hAnsi="仿宋_GB2312" w:eastAsia="仿宋_GB2312" w:cs="仿宋_GB2312"/>
          <w:color w:val="auto"/>
          <w:sz w:val="32"/>
          <w:szCs w:val="40"/>
          <w:lang w:val="en-US" w:eastAsia="zh-CN"/>
        </w:rPr>
        <w:t>（座谈）访谈形式以一对一访谈为主，访谈对象包括校领导、中层干部、教师、</w:t>
      </w:r>
      <w:r>
        <w:rPr>
          <w:rFonts w:hint="eastAsia" w:ascii="仿宋_GB2312" w:hAnsi="仿宋_GB2312" w:eastAsia="仿宋_GB2312" w:cs="仿宋_GB2312"/>
          <w:b/>
          <w:bCs/>
          <w:color w:val="auto"/>
          <w:sz w:val="32"/>
          <w:szCs w:val="40"/>
          <w:lang w:val="en-US" w:eastAsia="zh-CN"/>
        </w:rPr>
        <w:t>学生、</w:t>
      </w:r>
      <w:r>
        <w:rPr>
          <w:rFonts w:hint="eastAsia" w:ascii="仿宋_GB2312" w:hAnsi="仿宋_GB2312" w:eastAsia="仿宋_GB2312" w:cs="仿宋_GB2312"/>
          <w:color w:val="auto"/>
          <w:sz w:val="32"/>
          <w:szCs w:val="40"/>
          <w:lang w:val="en-US" w:eastAsia="zh-CN"/>
        </w:rPr>
        <w:t>用人单位以及离退休人员，访谈内容主要围绕“五个度”进行。</w:t>
      </w:r>
    </w:p>
    <w:p w14:paraId="076B8684">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随机听课。</w:t>
      </w:r>
      <w:r>
        <w:rPr>
          <w:rFonts w:hint="eastAsia" w:ascii="仿宋_GB2312" w:hAnsi="仿宋_GB2312" w:eastAsia="仿宋_GB2312" w:cs="仿宋_GB2312"/>
          <w:color w:val="auto"/>
          <w:sz w:val="32"/>
          <w:szCs w:val="40"/>
          <w:lang w:val="en-US" w:eastAsia="zh-CN"/>
        </w:rPr>
        <w:t>看课目的是实地了解教师的教学水平、教学方法、教学内容与教学状态，</w:t>
      </w:r>
      <w:r>
        <w:rPr>
          <w:rFonts w:hint="eastAsia" w:ascii="仿宋_GB2312" w:hAnsi="仿宋_GB2312" w:eastAsia="仿宋_GB2312" w:cs="仿宋_GB2312"/>
          <w:b/>
          <w:bCs/>
          <w:color w:val="auto"/>
          <w:sz w:val="32"/>
          <w:szCs w:val="40"/>
          <w:lang w:val="en-US" w:eastAsia="zh-CN"/>
        </w:rPr>
        <w:t>学生的听课状态</w:t>
      </w:r>
      <w:r>
        <w:rPr>
          <w:rFonts w:hint="eastAsia" w:ascii="仿宋_GB2312" w:hAnsi="仿宋_GB2312" w:eastAsia="仿宋_GB2312" w:cs="仿宋_GB2312"/>
          <w:color w:val="auto"/>
          <w:sz w:val="32"/>
          <w:szCs w:val="40"/>
          <w:lang w:val="en-US" w:eastAsia="zh-CN"/>
        </w:rPr>
        <w:t>，教材的选用，师生互动情况，实验情况，现代化教学手段使用情况及效果，原则上专家组听课不少于30门。</w:t>
      </w:r>
    </w:p>
    <w:p w14:paraId="5CC39A79">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校内外走访。</w:t>
      </w:r>
      <w:r>
        <w:rPr>
          <w:rFonts w:hint="eastAsia" w:ascii="仿宋_GB2312" w:hAnsi="仿宋_GB2312" w:eastAsia="仿宋_GB2312" w:cs="仿宋_GB2312"/>
          <w:color w:val="auto"/>
          <w:sz w:val="32"/>
          <w:szCs w:val="40"/>
          <w:lang w:val="en-US" w:eastAsia="zh-CN"/>
        </w:rPr>
        <w:t>考察“走访”是指对校内教学单位、职能部门、校外教学实习基地、用人单位的考察。“考察”特指专家对学校的教学条件（教室、实验实训室、图书馆、体育场馆、网络中心等）能否满足教学基本要求和课堂教学改革需要；</w:t>
      </w:r>
      <w:r>
        <w:rPr>
          <w:rFonts w:hint="eastAsia" w:ascii="仿宋_GB2312" w:hAnsi="仿宋_GB2312" w:eastAsia="仿宋_GB2312" w:cs="仿宋_GB2312"/>
          <w:b/>
          <w:bCs/>
          <w:color w:val="auto"/>
          <w:sz w:val="32"/>
          <w:szCs w:val="40"/>
          <w:lang w:val="en-US" w:eastAsia="zh-CN"/>
        </w:rPr>
        <w:t>食堂、宿舍等学生生活设施能否满足学生生活需要进行的考察</w:t>
      </w:r>
      <w:r>
        <w:rPr>
          <w:rFonts w:hint="eastAsia" w:ascii="仿宋_GB2312" w:hAnsi="仿宋_GB2312" w:eastAsia="仿宋_GB2312" w:cs="仿宋_GB2312"/>
          <w:color w:val="auto"/>
          <w:sz w:val="32"/>
          <w:szCs w:val="40"/>
          <w:lang w:val="en-US" w:eastAsia="zh-CN"/>
        </w:rPr>
        <w:t>。专家还可以根据实际情况自主选择考察场所。</w:t>
      </w:r>
    </w:p>
    <w:p w14:paraId="22179B56">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文卷审阅。</w:t>
      </w:r>
      <w:r>
        <w:rPr>
          <w:rFonts w:hint="eastAsia" w:ascii="仿宋_GB2312" w:hAnsi="仿宋_GB2312" w:eastAsia="仿宋_GB2312" w:cs="仿宋_GB2312"/>
          <w:color w:val="auto"/>
          <w:sz w:val="32"/>
          <w:szCs w:val="40"/>
          <w:lang w:val="en-US" w:eastAsia="zh-CN"/>
        </w:rPr>
        <w:t>专家对教学文档、支撑材料、毕业论文（设计）、试卷、人才培养方案等材料进行查阅，原则上专家组调阅课程试卷不少于30门、调阅毕业论文（设计）至少覆盖15个专业。</w:t>
      </w:r>
    </w:p>
    <w:p w14:paraId="757BCD2A">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问题诊断。</w:t>
      </w:r>
      <w:r>
        <w:rPr>
          <w:rFonts w:hint="eastAsia" w:ascii="仿宋_GB2312" w:hAnsi="仿宋_GB2312" w:eastAsia="仿宋_GB2312" w:cs="仿宋_GB2312"/>
          <w:color w:val="auto"/>
          <w:sz w:val="32"/>
          <w:szCs w:val="40"/>
          <w:lang w:val="en-US" w:eastAsia="zh-CN"/>
        </w:rPr>
        <w:t>一是对多种相关信息相互映证的兼听并收法；二是考察一个专业（院系）人才培养全过程的主线贯穿法；三是对薄弱方面多渠道检验的弱项核实法；四是自上而下与自下而上相结合的上下贯通法。</w:t>
      </w:r>
    </w:p>
    <w:p w14:paraId="2D2B60A6">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沟通交流。</w:t>
      </w:r>
      <w:r>
        <w:rPr>
          <w:rFonts w:hint="eastAsia" w:ascii="仿宋_GB2312" w:hAnsi="仿宋_GB2312" w:eastAsia="仿宋_GB2312" w:cs="仿宋_GB2312"/>
          <w:color w:val="auto"/>
          <w:sz w:val="32"/>
          <w:szCs w:val="40"/>
          <w:lang w:val="en-US" w:eastAsia="zh-CN"/>
        </w:rPr>
        <w:t>针对不同的人员采用不同的交流方式和交流内容。做好与同组专家的沟通和交流，共享考察结果，增加考察信息量。</w:t>
      </w:r>
    </w:p>
    <w:p w14:paraId="2BA94B1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二十二、学校保障专家线上评估应重点关注什么？</w:t>
      </w:r>
    </w:p>
    <w:p w14:paraId="6448530F">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保障线上听课：</w:t>
      </w:r>
      <w:r>
        <w:rPr>
          <w:rFonts w:hint="eastAsia" w:ascii="仿宋_GB2312" w:hAnsi="仿宋_GB2312" w:eastAsia="仿宋_GB2312" w:cs="仿宋_GB2312"/>
          <w:color w:val="auto"/>
          <w:sz w:val="32"/>
          <w:szCs w:val="40"/>
          <w:lang w:val="en-US" w:eastAsia="zh-CN"/>
        </w:rPr>
        <w:t>搭建线上技术平台，保障专家可通过互联网远程在线观看课堂直播或回放，进行远程听课、看课。</w:t>
      </w:r>
    </w:p>
    <w:p w14:paraId="42A0D19D">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保障线上访谈：</w:t>
      </w:r>
      <w:r>
        <w:rPr>
          <w:rFonts w:hint="eastAsia" w:ascii="仿宋_GB2312" w:hAnsi="仿宋_GB2312" w:eastAsia="仿宋_GB2312" w:cs="仿宋_GB2312"/>
          <w:color w:val="auto"/>
          <w:sz w:val="32"/>
          <w:szCs w:val="40"/>
          <w:lang w:val="en-US" w:eastAsia="zh-CN"/>
        </w:rPr>
        <w:t>通过腾讯会议、钉钉等形式，保障专家与学校领导、部门领导、教师、学生、用人单位、毕业1-5年的校友等开展线上视频交流，根据专家要求采取一对一、一对多、多对一、多对多等多种形式。</w:t>
      </w:r>
    </w:p>
    <w:p w14:paraId="3771AF0E">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保障线上文档查阅：</w:t>
      </w:r>
      <w:r>
        <w:rPr>
          <w:rFonts w:hint="eastAsia" w:ascii="仿宋_GB2312" w:hAnsi="仿宋_GB2312" w:eastAsia="仿宋_GB2312" w:cs="仿宋_GB2312"/>
          <w:color w:val="auto"/>
          <w:sz w:val="32"/>
          <w:szCs w:val="40"/>
          <w:lang w:val="en-US" w:eastAsia="zh-CN"/>
        </w:rPr>
        <w:t>专家根据评估指标，在线调阅学校文件、制度、规范、标准，培养方案、教学大纲、教案／课件，以及试卷、毕业论文、实习实践材料、实验报告等教学资料以及其他相关支撑材料（以上调阅材料需电子化），各材料归属部门需在响应时间内及时、保质响应，如提供电子类材料确有特殊困难或不适宜提供的需书面说明。</w:t>
      </w:r>
    </w:p>
    <w:p w14:paraId="0F973C8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 二十三、专家听课看课关注什么？</w:t>
      </w:r>
    </w:p>
    <w:p w14:paraId="3901CF9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特别关注课程思政是否在课堂中有效体现；课程教学是否体现了以学生为中心的教育教学理念（</w:t>
      </w:r>
      <w:r>
        <w:rPr>
          <w:rFonts w:hint="eastAsia" w:ascii="仿宋_GB2312" w:hAnsi="仿宋_GB2312" w:eastAsia="仿宋_GB2312" w:cs="仿宋_GB2312"/>
          <w:b/>
          <w:bCs/>
          <w:color w:val="auto"/>
          <w:sz w:val="32"/>
          <w:szCs w:val="40"/>
          <w:lang w:val="en-US" w:eastAsia="zh-CN"/>
        </w:rPr>
        <w:t>从学生学习效果的角度考察课堂教学效果</w:t>
      </w:r>
      <w:r>
        <w:rPr>
          <w:rFonts w:hint="eastAsia" w:ascii="仿宋_GB2312" w:hAnsi="仿宋_GB2312" w:eastAsia="仿宋_GB2312" w:cs="仿宋_GB2312"/>
          <w:color w:val="auto"/>
          <w:sz w:val="32"/>
          <w:szCs w:val="40"/>
          <w:lang w:val="en-US" w:eastAsia="zh-CN"/>
        </w:rPr>
        <w:t>）；课程教学是否有效实现了深度的师生互动交流和讨论；课堂教学质量评价的标准是否体现了课堂教学的目标和教学要求。</w:t>
      </w:r>
    </w:p>
    <w:p w14:paraId="09A13A8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二十四、专家进行线上访谈的原因、对象和内容是什么？</w:t>
      </w:r>
    </w:p>
    <w:p w14:paraId="724F7F9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访谈原因专家对拿不准、看不透、仍存疑的问题和数据进行证据收集，以便作进一步的核准和验证。</w:t>
      </w:r>
    </w:p>
    <w:p w14:paraId="0035D2E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访谈对象几乎涉及所有的校领导、职能部门和学院的负责人，以及部分教师、学生、用人单位人员和毕业生校友。</w:t>
      </w:r>
    </w:p>
    <w:p w14:paraId="33419CA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访谈内容以审核指标和审核要点为依准，紧紧围绕学校本科教育教学以及职能部门如何为本科教学服务等事项，包括学校、学院在人才培养方面的举措和成效、实验室（含科研实验室）对本科生开放的情况、科教融合情况、教师教学改革情况等。</w:t>
      </w:r>
    </w:p>
    <w:p w14:paraId="5545C93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二十五、专家线上访谈的重点人群和关注重点是什么？</w:t>
      </w:r>
    </w:p>
    <w:p w14:paraId="7463B61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学生层面要对所学专业有清晰认知，对学业生涯有清醒规划，对专业人才培养方案完全知晓，了解专业培养目标，知道本专业毕业要求，清楚每门课程可以学习到什么知识。对专家的提问，应对不慌张，出语慎重，正面客观陈述。回答问题能结合学校和自身实际。</w:t>
      </w:r>
    </w:p>
    <w:p w14:paraId="38C9CEE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二十六、专家组可能召开哪些类别的座谈会？</w:t>
      </w:r>
    </w:p>
    <w:p w14:paraId="033DD50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专题类座谈会如专业建设、课程建设、实践教学环节和实验室工作、教学质量监控体系的运行、教学经费及使用、教师培养及发展等，根据专题要求组织不同的人员参加。</w:t>
      </w:r>
    </w:p>
    <w:p w14:paraId="327E1AD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人员类座谈会如各年龄、职称梯队教师、实验室工作人员、教学管理人员、学生管理人员、在校生、毕业生、用人单位等。</w:t>
      </w:r>
    </w:p>
    <w:p w14:paraId="44AAC66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根据专家意向和学校实际，访谈、座谈可采取线上、入校两种方式，部分单位人员可能两种方式都会被安排，涉及到的组织部门需提前做好人员通知和会场安排工作，确保有目的参会。</w:t>
      </w:r>
    </w:p>
    <w:p w14:paraId="7803E1E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二十七、专家审核材料重点关注什么？</w:t>
      </w:r>
    </w:p>
    <w:p w14:paraId="26B0E73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材料审阅以考察问题为导向，突出考察重点。例如：毕业论文（设计）审阅重点为：关注选题、过程指导、成绩评定是否规范到位，是否体现了能力培养要求；试卷审阅重点为：关注命题、成绩评定是否科学合理，试卷分析是否到位，是否有持续改进机制。</w:t>
      </w:r>
    </w:p>
    <w:p w14:paraId="7682C84B">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color w:val="auto"/>
          <w:sz w:val="44"/>
          <w:szCs w:val="44"/>
          <w:lang w:val="en-US" w:eastAsia="zh-CN"/>
        </w:rPr>
      </w:pPr>
    </w:p>
    <w:p w14:paraId="1A8954B0">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color w:val="auto"/>
          <w:sz w:val="44"/>
          <w:szCs w:val="44"/>
          <w:highlight w:val="red"/>
          <w:lang w:val="en-US" w:eastAsia="zh-CN"/>
        </w:rPr>
      </w:pPr>
      <w:r>
        <w:rPr>
          <w:rFonts w:hint="eastAsia" w:ascii="方正小标宋简体" w:hAnsi="方正小标宋简体" w:eastAsia="方正小标宋简体" w:cs="方正小标宋简体"/>
          <w:color w:val="auto"/>
          <w:sz w:val="44"/>
          <w:szCs w:val="44"/>
          <w:highlight w:val="red"/>
          <w:lang w:val="en-US" w:eastAsia="zh-CN"/>
        </w:rPr>
        <w:t>校史校情</w:t>
      </w:r>
    </w:p>
    <w:p w14:paraId="2B77E429">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一、办学历程</w:t>
      </w:r>
    </w:p>
    <w:p w14:paraId="60C7E3F5">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新疆财经大学是自治区人民政府创办的重点大学之一。其前身是1950年成立的新疆省人民政府干部培训班；1959年设立为新疆财经学院；1962年转制为新疆财贸学校；1980年经国务院批准恢复新疆财经学院建制。2000年，新疆财经学院与新疆经济管理干部学院和新疆财政税务学校合并组建新的新疆财经学院；2007年经教育部批准，更名为新疆财经大学。</w:t>
      </w:r>
    </w:p>
    <w:p w14:paraId="27A6D8F8">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二、校训与校风</w:t>
      </w:r>
    </w:p>
    <w:p w14:paraId="3E9D838F">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新疆财经大学的校训是：“经世济公 至善至诚”。“经世济公”：就是筹划营谋好社会，做有益于人民和社会的事。结合学校实际，就是为社会培养人才，办好人民满意的教育。“至善至诚”：意思是无论做人、做事、做学问都要力争达到真善美的最高境界。</w:t>
      </w:r>
    </w:p>
    <w:p w14:paraId="27A1CEE0">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三、办学定位</w:t>
      </w:r>
    </w:p>
    <w:p w14:paraId="20F0B227">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640"/>
        <w:textAlignment w:val="auto"/>
        <w:rPr>
          <w:rFonts w:hint="eastAsia" w:ascii="仿宋_GB2312" w:hAnsi="仿宋_GB2312" w:eastAsia="仿宋_GB2312" w:cs="仿宋_GB2312"/>
          <w:b w:val="0"/>
          <w:bCs w:val="0"/>
          <w:kern w:val="2"/>
          <w:sz w:val="32"/>
          <w:szCs w:val="40"/>
          <w:lang w:val="en-US" w:eastAsia="zh-CN" w:bidi="ar-SA"/>
        </w:rPr>
      </w:pPr>
      <w:r>
        <w:rPr>
          <w:rFonts w:hint="eastAsia" w:ascii="仿宋_GB2312" w:hAnsi="仿宋_GB2312" w:eastAsia="仿宋_GB2312" w:cs="仿宋_GB2312"/>
          <w:b w:val="0"/>
          <w:bCs w:val="0"/>
          <w:kern w:val="2"/>
          <w:sz w:val="32"/>
          <w:szCs w:val="40"/>
          <w:lang w:val="en-US" w:eastAsia="zh-CN" w:bidi="ar-SA"/>
        </w:rPr>
        <w:t>进入新发展阶段，立足新的历史起点，学校秉持“经世济公、至善至诚”的校训，正朝着建设“新疆名牌、西北一流、全国知名、辐射中亚”的自治区特色高水平大学的目标稳步迈进。</w:t>
      </w:r>
    </w:p>
    <w:p w14:paraId="356551C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黑体" w:hAnsi="黑体" w:eastAsia="黑体" w:cs="黑体"/>
          <w:b w:val="0"/>
          <w:bCs w:val="0"/>
          <w:color w:val="auto"/>
          <w:sz w:val="32"/>
          <w:szCs w:val="40"/>
          <w:lang w:val="en-US" w:eastAsia="zh-CN"/>
        </w:rPr>
      </w:pPr>
      <w:r>
        <w:rPr>
          <w:rFonts w:hint="eastAsia" w:ascii="黑体" w:hAnsi="黑体" w:eastAsia="黑体" w:cs="黑体"/>
          <w:b w:val="0"/>
          <w:bCs w:val="0"/>
          <w:color w:val="auto"/>
          <w:sz w:val="32"/>
          <w:szCs w:val="40"/>
          <w:lang w:val="en-US" w:eastAsia="zh-CN"/>
        </w:rPr>
        <w:t>四、办学规模</w:t>
      </w:r>
    </w:p>
    <w:p w14:paraId="27F9ACE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b w:val="0"/>
          <w:bCs w:val="0"/>
          <w:kern w:val="2"/>
          <w:sz w:val="32"/>
          <w:szCs w:val="40"/>
          <w:lang w:val="en-US" w:eastAsia="zh-CN" w:bidi="ar-SA"/>
        </w:rPr>
      </w:pPr>
      <w:r>
        <w:rPr>
          <w:rFonts w:hint="eastAsia" w:ascii="仿宋_GB2312" w:hAnsi="仿宋_GB2312" w:eastAsia="仿宋_GB2312" w:cs="仿宋_GB2312"/>
          <w:b w:val="0"/>
          <w:bCs w:val="0"/>
          <w:kern w:val="2"/>
          <w:sz w:val="32"/>
          <w:szCs w:val="40"/>
          <w:lang w:val="en-US" w:eastAsia="zh-CN" w:bidi="ar-SA"/>
        </w:rPr>
        <w:t>学校现有经济学、管理学、法学、工学、理学、文学六大学科，已形成以本科生教育、研究生教育、继续教育为主要办学形式，多学科、多层次的办学格局和体系。目前，学校现有普通本科生15117人，硕士研究生2782人，博士研究生108人，成人本科生6496人。</w:t>
      </w:r>
    </w:p>
    <w:p w14:paraId="281AE47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黑体" w:hAnsi="黑体" w:eastAsia="黑体" w:cs="黑体"/>
          <w:b w:val="0"/>
          <w:bCs w:val="0"/>
          <w:color w:val="auto"/>
          <w:sz w:val="32"/>
          <w:szCs w:val="40"/>
          <w:lang w:val="en-US" w:eastAsia="zh-CN"/>
        </w:rPr>
      </w:pPr>
      <w:r>
        <w:rPr>
          <w:rFonts w:hint="eastAsia" w:ascii="黑体" w:hAnsi="黑体" w:eastAsia="黑体" w:cs="黑体"/>
          <w:b w:val="0"/>
          <w:bCs w:val="0"/>
          <w:color w:val="auto"/>
          <w:sz w:val="32"/>
          <w:szCs w:val="40"/>
          <w:lang w:val="en-US" w:eastAsia="zh-CN"/>
        </w:rPr>
        <w:t>五、本科专业</w:t>
      </w:r>
    </w:p>
    <w:p w14:paraId="1DB1BDE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b w:val="0"/>
          <w:bCs w:val="0"/>
          <w:kern w:val="2"/>
          <w:sz w:val="32"/>
          <w:szCs w:val="40"/>
          <w:lang w:val="en-US" w:eastAsia="zh-CN" w:bidi="ar-SA"/>
        </w:rPr>
      </w:pPr>
      <w:r>
        <w:rPr>
          <w:rFonts w:hint="eastAsia" w:ascii="仿宋_GB2312" w:hAnsi="仿宋_GB2312" w:eastAsia="仿宋_GB2312" w:cs="仿宋_GB2312"/>
          <w:b w:val="0"/>
          <w:bCs w:val="0"/>
          <w:kern w:val="2"/>
          <w:sz w:val="32"/>
          <w:szCs w:val="40"/>
          <w:lang w:val="en-US" w:eastAsia="zh-CN" w:bidi="ar-SA"/>
        </w:rPr>
        <w:t>现有41个招生本科专业、4个国家级特色专业、1个教育部综合改革试点专业、16个国家级一流本科专业建设点、3个自治区级一流本科专业建设点，4个自治区重点专业、</w:t>
      </w:r>
    </w:p>
    <w:p w14:paraId="156B64F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黑体" w:hAnsi="黑体" w:eastAsia="黑体" w:cs="黑体"/>
          <w:b w:val="0"/>
          <w:bCs w:val="0"/>
          <w:color w:val="auto"/>
          <w:sz w:val="32"/>
          <w:szCs w:val="40"/>
          <w:lang w:val="en-US" w:eastAsia="zh-CN"/>
        </w:rPr>
      </w:pPr>
      <w:r>
        <w:rPr>
          <w:rFonts w:hint="eastAsia" w:ascii="黑体" w:hAnsi="黑体" w:eastAsia="黑体" w:cs="黑体"/>
          <w:b w:val="0"/>
          <w:bCs w:val="0"/>
          <w:color w:val="auto"/>
          <w:sz w:val="32"/>
          <w:szCs w:val="40"/>
          <w:lang w:val="en-US" w:eastAsia="zh-CN"/>
        </w:rPr>
        <w:t>六、一级学科博士和硕士学位授权点</w:t>
      </w:r>
    </w:p>
    <w:p w14:paraId="732A1AA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b w:val="0"/>
          <w:bCs w:val="0"/>
          <w:kern w:val="2"/>
          <w:sz w:val="32"/>
          <w:szCs w:val="40"/>
          <w:lang w:val="en-US" w:eastAsia="zh-CN" w:bidi="ar-SA"/>
        </w:rPr>
      </w:pPr>
      <w:r>
        <w:rPr>
          <w:rFonts w:hint="eastAsia" w:ascii="仿宋_GB2312" w:hAnsi="仿宋_GB2312" w:eastAsia="仿宋_GB2312" w:cs="仿宋_GB2312"/>
          <w:b w:val="0"/>
          <w:bCs w:val="0"/>
          <w:kern w:val="2"/>
          <w:sz w:val="32"/>
          <w:szCs w:val="40"/>
          <w:lang w:val="en-US" w:eastAsia="zh-CN" w:bidi="ar-SA"/>
        </w:rPr>
        <w:t>学校拥有应用经济学和工商管理学两个一级学科博士学位授权点、9个一级学科硕士学位授权点、15个硕士专业学位授权点。</w:t>
      </w:r>
    </w:p>
    <w:p w14:paraId="5424A41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黑体" w:hAnsi="黑体" w:eastAsia="黑体" w:cs="黑体"/>
          <w:b w:val="0"/>
          <w:bCs w:val="0"/>
          <w:color w:val="auto"/>
          <w:sz w:val="32"/>
          <w:szCs w:val="40"/>
          <w:lang w:val="en-US" w:eastAsia="zh-CN"/>
        </w:rPr>
      </w:pPr>
      <w:r>
        <w:rPr>
          <w:rFonts w:hint="eastAsia" w:ascii="黑体" w:hAnsi="黑体" w:eastAsia="黑体" w:cs="黑体"/>
          <w:b w:val="0"/>
          <w:bCs w:val="0"/>
          <w:color w:val="auto"/>
          <w:sz w:val="32"/>
          <w:szCs w:val="40"/>
          <w:lang w:val="en-US" w:eastAsia="zh-CN"/>
        </w:rPr>
        <w:t>七、教师数量</w:t>
      </w:r>
    </w:p>
    <w:p w14:paraId="61C6BBB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b w:val="0"/>
          <w:bCs w:val="0"/>
          <w:kern w:val="2"/>
          <w:sz w:val="32"/>
          <w:szCs w:val="40"/>
          <w:lang w:val="en-US" w:eastAsia="zh-CN" w:bidi="ar-SA"/>
        </w:rPr>
      </w:pPr>
      <w:r>
        <w:rPr>
          <w:rFonts w:hint="eastAsia" w:ascii="仿宋_GB2312" w:hAnsi="仿宋_GB2312" w:eastAsia="仿宋_GB2312" w:cs="仿宋_GB2312"/>
          <w:b w:val="0"/>
          <w:bCs w:val="0"/>
          <w:kern w:val="2"/>
          <w:sz w:val="32"/>
          <w:szCs w:val="40"/>
          <w:lang w:val="en-US" w:eastAsia="zh-CN" w:bidi="ar-SA"/>
        </w:rPr>
        <w:t>学校现有在编专任教师929人，具有高级职称专任教师287人，具有博士学位专任教师306人。</w:t>
      </w:r>
    </w:p>
    <w:p w14:paraId="59C8D50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420" w:leftChars="0" w:firstLine="320" w:firstLineChars="100"/>
        <w:textAlignment w:val="auto"/>
        <w:rPr>
          <w:rFonts w:hint="eastAsia" w:ascii="黑体" w:hAnsi="黑体" w:eastAsia="黑体" w:cs="黑体"/>
          <w:b w:val="0"/>
          <w:bCs w:val="0"/>
          <w:color w:val="auto"/>
          <w:sz w:val="32"/>
          <w:szCs w:val="40"/>
          <w:lang w:val="en-US" w:eastAsia="zh-CN"/>
        </w:rPr>
      </w:pPr>
      <w:r>
        <w:rPr>
          <w:rFonts w:hint="eastAsia" w:ascii="黑体" w:hAnsi="黑体" w:eastAsia="黑体" w:cs="黑体"/>
          <w:b w:val="0"/>
          <w:bCs w:val="0"/>
          <w:color w:val="auto"/>
          <w:sz w:val="32"/>
          <w:szCs w:val="40"/>
          <w:lang w:val="en-US" w:eastAsia="zh-CN"/>
        </w:rPr>
        <w:t>八、图书资源</w:t>
      </w:r>
    </w:p>
    <w:sectPr>
      <w:footerReference r:id="rId3" w:type="default"/>
      <w:pgSz w:w="11906" w:h="16838"/>
      <w:pgMar w:top="2098" w:right="1531" w:bottom="1984" w:left="1531"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C9B3C2DA-0198-42E8-B363-8E65A681D956}"/>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C1943D32-9F73-4B97-951B-3A29D01CC364}"/>
  </w:font>
  <w:font w:name="仿宋_GB2312">
    <w:panose1 w:val="02010609030101010101"/>
    <w:charset w:val="86"/>
    <w:family w:val="auto"/>
    <w:pitch w:val="default"/>
    <w:sig w:usb0="00000001" w:usb1="080E0000" w:usb2="00000000" w:usb3="00000000" w:csb0="00040000" w:csb1="00000000"/>
    <w:embedRegular r:id="rId3" w:fontKey="{79195996-0DA3-4AD2-B206-BDB207EF4621}"/>
  </w:font>
  <w:font w:name="方正小标宋简体">
    <w:panose1 w:val="02010600010101010101"/>
    <w:charset w:val="86"/>
    <w:family w:val="auto"/>
    <w:pitch w:val="default"/>
    <w:sig w:usb0="00000001" w:usb1="080E0000" w:usb2="00000000" w:usb3="00000000" w:csb0="00040000" w:csb1="00000000"/>
    <w:embedRegular r:id="rId4" w:fontKey="{E815A5BC-3660-4A9F-8DAB-38083CE5F41D}"/>
  </w:font>
  <w:font w:name="楷体">
    <w:panose1 w:val="02010609060101010101"/>
    <w:charset w:val="86"/>
    <w:family w:val="auto"/>
    <w:pitch w:val="default"/>
    <w:sig w:usb0="800002BF" w:usb1="38CF7CFA" w:usb2="00000016" w:usb3="00000000" w:csb0="00040001" w:csb1="00000000"/>
    <w:embedRegular r:id="rId5" w:fontKey="{A92B3138-7D65-46BE-AE29-5E9F218161B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58C1E6">
    <w:pPr>
      <w:spacing w:line="168" w:lineRule="auto"/>
      <w:rPr>
        <w:rFonts w:ascii="Calibri" w:hAnsi="Calibri" w:eastAsia="Calibri" w:cs="Calibri"/>
        <w:sz w:val="18"/>
        <w:szCs w:val="18"/>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893682E"/>
    <w:multiLevelType w:val="singleLevel"/>
    <w:tmpl w:val="E893682E"/>
    <w:lvl w:ilvl="0" w:tentative="0">
      <w:start w:val="1"/>
      <w:numFmt w:val="chineseCounting"/>
      <w:pStyle w:val="6"/>
      <w:suff w:val="nothing"/>
      <w:lvlText w:val="（%1）"/>
      <w:lvlJc w:val="left"/>
      <w:pPr>
        <w:ind w:left="0" w:firstLine="42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EEE69F2"/>
    <w:rsid w:val="06D7429F"/>
    <w:rsid w:val="0EEE69F2"/>
    <w:rsid w:val="16C31566"/>
    <w:rsid w:val="230E4313"/>
    <w:rsid w:val="3DD1647E"/>
    <w:rsid w:val="4DD62DF6"/>
    <w:rsid w:val="6A7C51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3">
    <w:name w:val="Normal (Web)"/>
    <w:basedOn w:val="1"/>
    <w:qFormat/>
    <w:uiPriority w:val="0"/>
    <w:pPr>
      <w:spacing w:before="0" w:beforeAutospacing="1" w:after="0" w:afterAutospacing="1"/>
      <w:ind w:left="0" w:right="0"/>
      <w:jc w:val="left"/>
    </w:pPr>
    <w:rPr>
      <w:kern w:val="0"/>
      <w:sz w:val="24"/>
      <w:lang w:val="en-US" w:eastAsia="zh-CN" w:bidi="ar"/>
    </w:rPr>
  </w:style>
  <w:style w:type="paragraph" w:customStyle="1" w:styleId="6">
    <w:name w:val="标题2"/>
    <w:basedOn w:val="1"/>
    <w:qFormat/>
    <w:uiPriority w:val="0"/>
    <w:pPr>
      <w:numPr>
        <w:ilvl w:val="0"/>
        <w:numId w:val="1"/>
      </w:numPr>
      <w:ind w:firstLine="420"/>
    </w:pPr>
    <w:rPr>
      <w:rFonts w:hint="eastAsia" w:ascii="仿宋_GB2312" w:hAnsi="仿宋_GB2312" w:eastAsia="仿宋_GB2312" w:cs="仿宋_GB2312"/>
      <w:b/>
      <w:bCs/>
      <w:sz w:val="32"/>
      <w:szCs w:val="40"/>
    </w:rPr>
  </w:style>
  <w:style w:type="character" w:customStyle="1" w:styleId="7">
    <w:name w:val="标题1 Char"/>
    <w:link w:val="8"/>
    <w:qFormat/>
    <w:uiPriority w:val="0"/>
    <w:rPr>
      <w:rFonts w:hint="eastAsia" w:ascii="仿宋_GB2312" w:hAnsi="仿宋_GB2312" w:eastAsia="仿宋_GB2312" w:cs="仿宋_GB2312"/>
      <w:b/>
      <w:bCs/>
      <w:sz w:val="32"/>
      <w:szCs w:val="40"/>
    </w:rPr>
  </w:style>
  <w:style w:type="paragraph" w:customStyle="1" w:styleId="8">
    <w:name w:val="标题1"/>
    <w:basedOn w:val="1"/>
    <w:link w:val="7"/>
    <w:qFormat/>
    <w:uiPriority w:val="0"/>
    <w:rPr>
      <w:rFonts w:hint="eastAsia" w:ascii="仿宋_GB2312" w:hAnsi="仿宋_GB2312" w:eastAsia="仿宋_GB2312" w:cs="仿宋_GB2312"/>
      <w:b/>
      <w:bCs/>
      <w:sz w:val="32"/>
      <w:szCs w:val="40"/>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microsoft.com/office/2007/relationships/hdphoto"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24</Pages>
  <Words>12242</Words>
  <Characters>12347</Characters>
  <Lines>0</Lines>
  <Paragraphs>0</Paragraphs>
  <TotalTime>2</TotalTime>
  <ScaleCrop>false</ScaleCrop>
  <LinksUpToDate>false</LinksUpToDate>
  <CharactersWithSpaces>12376</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2025-04-24T10:44:00Z</dcterms:created>
  <dc:creator>刘开会</dc:creator>
  <cp:lastModifiedBy>刘开会</cp:lastModifiedBy>
  <dcterms:modified xsi:type="dcterms:W3CDTF">2025-05-07T07:46:17Z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3974F640160049BEAC923D9EF562278D_11</vt:lpwstr>
  </property>
  <property fmtid="{D5CDD505-2E9C-101B-9397-08002B2CF9AE}" pid="4" name="KSOTemplateDocerSaveRecord">
    <vt:lpwstr>eyJoZGlkIjoiODY5YTE2MDQ0MjI5NDllNDllN2ZmYTJkYTdmM2VlYWEiLCJ1c2VySWQiOiI0Mjc1NTcwNzQifQ==</vt:lpwstr>
  </property>
</Properties>
</file>